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7D2C" w14:textId="77777777" w:rsidR="00DB5C0E" w:rsidRPr="00525D72" w:rsidRDefault="00DB5C0E" w:rsidP="00DB5C0E">
      <w:pPr>
        <w:pStyle w:val="BodyText"/>
        <w:spacing w:before="0"/>
        <w:ind w:left="248" w:firstLine="0"/>
        <w:jc w:val="left"/>
        <w:rPr>
          <w:b/>
          <w:bCs/>
        </w:rPr>
      </w:pPr>
      <w:r w:rsidRPr="00525D72">
        <w:rPr>
          <w:b/>
          <w:bCs/>
        </w:rPr>
        <w:t xml:space="preserve">To move, </w:t>
      </w:r>
      <w:proofErr w:type="gramStart"/>
      <w:r w:rsidRPr="00525D72">
        <w:rPr>
          <w:b/>
          <w:bCs/>
        </w:rPr>
        <w:t>That</w:t>
      </w:r>
      <w:proofErr w:type="gramEnd"/>
      <w:r w:rsidRPr="00525D72">
        <w:rPr>
          <w:b/>
          <w:bCs/>
        </w:rPr>
        <w:t xml:space="preserve"> this House disagrees with the Lords in their Amendment. </w:t>
      </w:r>
    </w:p>
    <w:p w14:paraId="2031EF48" w14:textId="77777777" w:rsidR="00DB5C0E" w:rsidRPr="00525D72" w:rsidRDefault="00DB5C0E" w:rsidP="00DB5C0E">
      <w:pPr>
        <w:pStyle w:val="BodyText"/>
        <w:spacing w:before="0"/>
        <w:ind w:left="248" w:firstLine="0"/>
        <w:jc w:val="left"/>
        <w:rPr>
          <w:b/>
          <w:bCs/>
        </w:rPr>
      </w:pPr>
    </w:p>
    <w:p w14:paraId="36B55F05" w14:textId="77777777" w:rsidR="00DB5C0E" w:rsidRPr="00525D72" w:rsidRDefault="00DB5C0E" w:rsidP="00DB5C0E">
      <w:pPr>
        <w:pStyle w:val="BodyText"/>
        <w:spacing w:before="0"/>
        <w:ind w:left="248" w:firstLine="0"/>
        <w:jc w:val="left"/>
        <w:rPr>
          <w:b/>
          <w:bCs/>
          <w:i/>
          <w:sz w:val="26"/>
        </w:rPr>
      </w:pPr>
      <w:r w:rsidRPr="00525D72">
        <w:rPr>
          <w:b/>
          <w:bCs/>
        </w:rPr>
        <w:t>To move the following Amendments to the Bill in lieu of the Lords Amendment—</w:t>
      </w:r>
    </w:p>
    <w:p w14:paraId="670B0FB1" w14:textId="77777777" w:rsidR="00DB5C0E" w:rsidRDefault="00DB5C0E" w:rsidP="00DB5C0E">
      <w:pPr>
        <w:pStyle w:val="BodyText"/>
        <w:spacing w:before="7"/>
        <w:ind w:left="0" w:firstLine="0"/>
        <w:jc w:val="left"/>
        <w:rPr>
          <w:i/>
          <w:sz w:val="20"/>
        </w:rPr>
      </w:pPr>
    </w:p>
    <w:p w14:paraId="2E65E114" w14:textId="77777777" w:rsidR="00DB5C0E" w:rsidRPr="00525D72" w:rsidRDefault="00DB5C0E" w:rsidP="00DB5C0E">
      <w:pPr>
        <w:pStyle w:val="BodyText"/>
        <w:tabs>
          <w:tab w:val="left" w:pos="1568"/>
        </w:tabs>
        <w:spacing w:before="0"/>
        <w:ind w:left="720" w:hanging="472"/>
        <w:jc w:val="left"/>
        <w:rPr>
          <w:b/>
          <w:bCs/>
        </w:rPr>
      </w:pPr>
      <w:r>
        <w:rPr>
          <w:b/>
        </w:rPr>
        <w:t>A</w:t>
      </w:r>
      <w:r>
        <w:rPr>
          <w:b/>
        </w:rPr>
        <w:tab/>
      </w:r>
      <w:r w:rsidRPr="00525D72">
        <w:rPr>
          <w:b/>
          <w:bCs/>
        </w:rPr>
        <w:t>“Restriction on forfeiture of leases of dwellings for unpaid Fire Safety Order costs</w:t>
      </w:r>
    </w:p>
    <w:p w14:paraId="157885B3" w14:textId="77777777" w:rsidR="00DB5C0E" w:rsidRDefault="00DB5C0E" w:rsidP="00DB5C0E">
      <w:pPr>
        <w:pStyle w:val="ListParagraph"/>
        <w:numPr>
          <w:ilvl w:val="0"/>
          <w:numId w:val="7"/>
        </w:numPr>
        <w:tabs>
          <w:tab w:val="left" w:pos="2151"/>
        </w:tabs>
        <w:spacing w:before="157" w:line="211" w:lineRule="auto"/>
        <w:ind w:right="218"/>
      </w:pPr>
      <w:r>
        <w:t>Section 167 of the Commonhold and Leasehold Reform Act 2002 is amended as</w:t>
      </w:r>
      <w:r>
        <w:rPr>
          <w:spacing w:val="-3"/>
        </w:rPr>
        <w:t xml:space="preserve"> </w:t>
      </w:r>
      <w:r>
        <w:t>follows.</w:t>
      </w:r>
    </w:p>
    <w:p w14:paraId="4BADD7CD" w14:textId="77777777" w:rsidR="00DB5C0E" w:rsidRDefault="00DB5C0E" w:rsidP="00DB5C0E">
      <w:pPr>
        <w:pStyle w:val="ListParagraph"/>
        <w:numPr>
          <w:ilvl w:val="0"/>
          <w:numId w:val="7"/>
        </w:numPr>
        <w:tabs>
          <w:tab w:val="left" w:pos="2151"/>
        </w:tabs>
        <w:spacing w:before="131"/>
        <w:jc w:val="both"/>
      </w:pPr>
      <w:r>
        <w:t>Before subsection (1) insert</w:t>
      </w:r>
      <w:r>
        <w:rPr>
          <w:spacing w:val="-5"/>
        </w:rPr>
        <w:t xml:space="preserve"> </w:t>
      </w:r>
      <w:r>
        <w:t>–</w:t>
      </w:r>
    </w:p>
    <w:p w14:paraId="673CC104" w14:textId="77777777" w:rsidR="00DB5C0E" w:rsidRDefault="00DB5C0E" w:rsidP="00DB5C0E">
      <w:pPr>
        <w:pStyle w:val="BodyText"/>
        <w:spacing w:before="151" w:line="211" w:lineRule="auto"/>
        <w:ind w:left="2287" w:right="218" w:firstLine="2"/>
      </w:pPr>
      <w:r>
        <w:t>(1A) A landlord under a long lease of a dwelling may not exercise a right of re-entry or forfeiture for failure by a tenant to pay any FSO amount.</w:t>
      </w:r>
    </w:p>
    <w:p w14:paraId="20C5A5B9" w14:textId="77777777" w:rsidR="00DB5C0E" w:rsidRDefault="00DB5C0E" w:rsidP="00DB5C0E">
      <w:pPr>
        <w:pStyle w:val="ListParagraph"/>
        <w:numPr>
          <w:ilvl w:val="0"/>
          <w:numId w:val="7"/>
        </w:numPr>
        <w:tabs>
          <w:tab w:val="left" w:pos="2151"/>
        </w:tabs>
        <w:spacing w:before="130"/>
        <w:jc w:val="both"/>
      </w:pPr>
      <w:r>
        <w:t>In subsection (5) after “dwelling” insert</w:t>
      </w:r>
      <w:r>
        <w:rPr>
          <w:spacing w:val="-4"/>
        </w:rPr>
        <w:t xml:space="preserve"> </w:t>
      </w:r>
      <w:r>
        <w:t>–</w:t>
      </w:r>
    </w:p>
    <w:p w14:paraId="597379EE" w14:textId="77777777" w:rsidR="00DB5C0E" w:rsidRDefault="00DB5C0E" w:rsidP="00DB5C0E">
      <w:pPr>
        <w:pStyle w:val="BodyText"/>
        <w:spacing w:before="150" w:line="211" w:lineRule="auto"/>
        <w:ind w:left="2151" w:right="220" w:firstLine="0"/>
      </w:pPr>
      <w:r>
        <w:t>“Fire Safety Order” means the Regulatory Reform (Fire Safety) Order 2005 (S.I. 2005/1541)</w:t>
      </w:r>
    </w:p>
    <w:p w14:paraId="3E19837E" w14:textId="77777777" w:rsidR="00DB5C0E" w:rsidRDefault="00DB5C0E" w:rsidP="00DB5C0E">
      <w:pPr>
        <w:pStyle w:val="BodyText"/>
        <w:spacing w:before="157" w:line="211" w:lineRule="auto"/>
        <w:ind w:right="218" w:firstLine="0"/>
      </w:pPr>
      <w:r>
        <w:t xml:space="preserve">“FSO amount” means the part and only the part of any rent, service charge, administration charge (or any combination of them) arising directly from </w:t>
      </w:r>
      <w:proofErr w:type="gramStart"/>
      <w:r>
        <w:t>any one</w:t>
      </w:r>
      <w:proofErr w:type="gramEnd"/>
      <w:r>
        <w:t xml:space="preserve"> (or any combination of):</w:t>
      </w:r>
    </w:p>
    <w:p w14:paraId="73D63F0E" w14:textId="77777777" w:rsidR="00DB5C0E" w:rsidRDefault="00DB5C0E" w:rsidP="00DB5C0E">
      <w:pPr>
        <w:pStyle w:val="ListParagraph"/>
        <w:numPr>
          <w:ilvl w:val="1"/>
          <w:numId w:val="7"/>
        </w:numPr>
        <w:tabs>
          <w:tab w:val="left" w:pos="2871"/>
        </w:tabs>
        <w:spacing w:before="157" w:line="211" w:lineRule="auto"/>
        <w:ind w:right="221"/>
        <w:jc w:val="both"/>
      </w:pPr>
      <w:r>
        <w:t xml:space="preserve">any order under Article 29, Article </w:t>
      </w:r>
      <w:proofErr w:type="gramStart"/>
      <w:r>
        <w:t>30</w:t>
      </w:r>
      <w:proofErr w:type="gramEnd"/>
      <w:r>
        <w:t xml:space="preserve"> or Article 31 of the Fire Safety Order;</w:t>
      </w:r>
      <w:r>
        <w:rPr>
          <w:spacing w:val="-3"/>
        </w:rPr>
        <w:t xml:space="preserve"> </w:t>
      </w:r>
      <w:r>
        <w:t>or</w:t>
      </w:r>
    </w:p>
    <w:p w14:paraId="7D3DE475" w14:textId="77777777" w:rsidR="00DB5C0E" w:rsidRDefault="00DB5C0E" w:rsidP="00DB5C0E">
      <w:pPr>
        <w:pStyle w:val="ListParagraph"/>
        <w:numPr>
          <w:ilvl w:val="1"/>
          <w:numId w:val="7"/>
        </w:numPr>
        <w:tabs>
          <w:tab w:val="left" w:pos="2871"/>
        </w:tabs>
        <w:spacing w:before="156" w:line="211" w:lineRule="auto"/>
        <w:ind w:right="219"/>
        <w:jc w:val="both"/>
      </w:pPr>
      <w:r>
        <w:t xml:space="preserve">anything required or said to be required under the </w:t>
      </w:r>
      <w:proofErr w:type="gramStart"/>
      <w:r>
        <w:t>risk based</w:t>
      </w:r>
      <w:proofErr w:type="gramEnd"/>
      <w:r>
        <w:t xml:space="preserve"> guidance</w:t>
      </w:r>
      <w:r>
        <w:rPr>
          <w:spacing w:val="-8"/>
        </w:rPr>
        <w:t xml:space="preserve"> </w:t>
      </w:r>
      <w:r>
        <w:t>issued</w:t>
      </w:r>
      <w:r>
        <w:rPr>
          <w:spacing w:val="-7"/>
        </w:rPr>
        <w:t xml:space="preserve"> </w:t>
      </w:r>
      <w:r>
        <w:t>by</w:t>
      </w:r>
      <w:r>
        <w:rPr>
          <w:spacing w:val="-7"/>
        </w:rPr>
        <w:t xml:space="preserve"> </w:t>
      </w:r>
      <w:r>
        <w:t>the</w:t>
      </w:r>
      <w:r>
        <w:rPr>
          <w:spacing w:val="-5"/>
        </w:rPr>
        <w:t xml:space="preserve"> </w:t>
      </w:r>
      <w:r>
        <w:t>Secretary</w:t>
      </w:r>
      <w:r>
        <w:rPr>
          <w:spacing w:val="-5"/>
        </w:rPr>
        <w:t xml:space="preserve"> </w:t>
      </w:r>
      <w:r>
        <w:t>of</w:t>
      </w:r>
      <w:r>
        <w:rPr>
          <w:spacing w:val="-4"/>
        </w:rPr>
        <w:t xml:space="preserve"> </w:t>
      </w:r>
      <w:r>
        <w:t>State</w:t>
      </w:r>
      <w:r>
        <w:rPr>
          <w:spacing w:val="-5"/>
        </w:rPr>
        <w:t xml:space="preserve"> </w:t>
      </w:r>
      <w:r>
        <w:t>under</w:t>
      </w:r>
      <w:r>
        <w:rPr>
          <w:spacing w:val="-9"/>
        </w:rPr>
        <w:t xml:space="preserve"> </w:t>
      </w:r>
      <w:r>
        <w:t>Article</w:t>
      </w:r>
      <w:r>
        <w:rPr>
          <w:spacing w:val="-5"/>
        </w:rPr>
        <w:t xml:space="preserve"> </w:t>
      </w:r>
      <w:r>
        <w:t>50</w:t>
      </w:r>
      <w:r>
        <w:rPr>
          <w:spacing w:val="-5"/>
        </w:rPr>
        <w:t xml:space="preserve"> </w:t>
      </w:r>
      <w:r>
        <w:t>of</w:t>
      </w:r>
      <w:r>
        <w:rPr>
          <w:spacing w:val="-6"/>
        </w:rPr>
        <w:t xml:space="preserve"> </w:t>
      </w:r>
      <w:r>
        <w:t>the Fire Safety Order;</w:t>
      </w:r>
      <w:r>
        <w:rPr>
          <w:spacing w:val="-1"/>
        </w:rPr>
        <w:t xml:space="preserve"> </w:t>
      </w:r>
      <w:r>
        <w:t>or</w:t>
      </w:r>
    </w:p>
    <w:p w14:paraId="4A725DC1" w14:textId="77777777" w:rsidR="00DB5C0E" w:rsidRDefault="00DB5C0E" w:rsidP="00DB5C0E">
      <w:pPr>
        <w:pStyle w:val="ListParagraph"/>
        <w:numPr>
          <w:ilvl w:val="1"/>
          <w:numId w:val="7"/>
        </w:numPr>
        <w:tabs>
          <w:tab w:val="left" w:pos="2871"/>
        </w:tabs>
        <w:spacing w:before="156" w:line="211" w:lineRule="auto"/>
        <w:ind w:right="219"/>
        <w:jc w:val="both"/>
      </w:pPr>
      <w:r>
        <w:t>anything</w:t>
      </w:r>
      <w:r>
        <w:rPr>
          <w:spacing w:val="-7"/>
        </w:rPr>
        <w:t xml:space="preserve"> </w:t>
      </w:r>
      <w:r>
        <w:t>recommended</w:t>
      </w:r>
      <w:r>
        <w:rPr>
          <w:spacing w:val="-10"/>
        </w:rPr>
        <w:t xml:space="preserve"> </w:t>
      </w:r>
      <w:r>
        <w:t>or</w:t>
      </w:r>
      <w:r>
        <w:rPr>
          <w:spacing w:val="-7"/>
        </w:rPr>
        <w:t xml:space="preserve"> </w:t>
      </w:r>
      <w:r>
        <w:t>said</w:t>
      </w:r>
      <w:r>
        <w:rPr>
          <w:spacing w:val="-6"/>
        </w:rPr>
        <w:t xml:space="preserve"> </w:t>
      </w:r>
      <w:r>
        <w:t>to</w:t>
      </w:r>
      <w:r>
        <w:rPr>
          <w:spacing w:val="-6"/>
        </w:rPr>
        <w:t xml:space="preserve"> </w:t>
      </w:r>
      <w:r>
        <w:t>be</w:t>
      </w:r>
      <w:r>
        <w:rPr>
          <w:spacing w:val="-8"/>
        </w:rPr>
        <w:t xml:space="preserve"> </w:t>
      </w:r>
      <w:r>
        <w:t>recommended</w:t>
      </w:r>
      <w:r>
        <w:rPr>
          <w:spacing w:val="-8"/>
        </w:rPr>
        <w:t xml:space="preserve"> </w:t>
      </w:r>
      <w:r>
        <w:t>in</w:t>
      </w:r>
      <w:r>
        <w:rPr>
          <w:spacing w:val="-6"/>
        </w:rPr>
        <w:t xml:space="preserve"> </w:t>
      </w:r>
      <w:r>
        <w:t>any</w:t>
      </w:r>
      <w:r>
        <w:rPr>
          <w:spacing w:val="-9"/>
        </w:rPr>
        <w:t xml:space="preserve"> </w:t>
      </w:r>
      <w:r>
        <w:t>non- statutory advice relating to fire safety issued by or on behalf of the Secretary of State for Housing, Communities and Local Government to the extent any</w:t>
      </w:r>
      <w:r>
        <w:rPr>
          <w:spacing w:val="-14"/>
        </w:rPr>
        <w:t xml:space="preserve"> </w:t>
      </w:r>
      <w:r>
        <w:t>such</w:t>
      </w:r>
      <w:r>
        <w:rPr>
          <w:spacing w:val="-10"/>
        </w:rPr>
        <w:t xml:space="preserve"> </w:t>
      </w:r>
      <w:r>
        <w:t>recommendation</w:t>
      </w:r>
      <w:r>
        <w:rPr>
          <w:spacing w:val="-12"/>
        </w:rPr>
        <w:t xml:space="preserve"> </w:t>
      </w:r>
      <w:r>
        <w:t>exceeds</w:t>
      </w:r>
      <w:r>
        <w:rPr>
          <w:spacing w:val="-12"/>
        </w:rPr>
        <w:t xml:space="preserve"> </w:t>
      </w:r>
      <w:r>
        <w:t>any</w:t>
      </w:r>
      <w:r>
        <w:rPr>
          <w:spacing w:val="-12"/>
        </w:rPr>
        <w:t xml:space="preserve"> </w:t>
      </w:r>
      <w:r>
        <w:t>relevant</w:t>
      </w:r>
      <w:r>
        <w:rPr>
          <w:spacing w:val="-11"/>
        </w:rPr>
        <w:t xml:space="preserve"> </w:t>
      </w:r>
      <w:r>
        <w:t>requirement.</w:t>
      </w:r>
    </w:p>
    <w:p w14:paraId="20839BB1" w14:textId="77777777" w:rsidR="00DB5C0E" w:rsidRDefault="00DB5C0E" w:rsidP="00DB5C0E">
      <w:pPr>
        <w:pStyle w:val="ListParagraph"/>
        <w:numPr>
          <w:ilvl w:val="0"/>
          <w:numId w:val="7"/>
        </w:numPr>
        <w:tabs>
          <w:tab w:val="left" w:pos="2151"/>
        </w:tabs>
        <w:spacing w:before="130"/>
        <w:ind w:left="2150"/>
        <w:jc w:val="both"/>
      </w:pPr>
      <w:r>
        <w:t>In subsection (5) after “prescribed” insert</w:t>
      </w:r>
      <w:r>
        <w:rPr>
          <w:spacing w:val="-1"/>
        </w:rPr>
        <w:t xml:space="preserve"> </w:t>
      </w:r>
      <w:r>
        <w:t>–</w:t>
      </w:r>
    </w:p>
    <w:p w14:paraId="73F8A253" w14:textId="77777777" w:rsidR="00DB5C0E" w:rsidRDefault="00DB5C0E" w:rsidP="00DB5C0E">
      <w:pPr>
        <w:pStyle w:val="BodyText"/>
        <w:spacing w:before="150" w:line="211" w:lineRule="auto"/>
        <w:ind w:right="216" w:firstLine="0"/>
      </w:pPr>
      <w:r>
        <w:t>“relevant requirement” means any requirement under any regulations made under section 1 of the Building Act 1984 or any requirement in any approved document issued under section 6 of the Building Act</w:t>
      </w:r>
    </w:p>
    <w:p w14:paraId="24783FDE" w14:textId="77777777" w:rsidR="00DB5C0E" w:rsidRDefault="00DB5C0E" w:rsidP="00DB5C0E">
      <w:pPr>
        <w:spacing w:line="211" w:lineRule="auto"/>
        <w:sectPr w:rsidR="00DB5C0E" w:rsidSect="00DB5C0E">
          <w:headerReference w:type="default" r:id="rId7"/>
          <w:pgSz w:w="11900" w:h="16840"/>
          <w:pgMar w:top="1320" w:right="1320" w:bottom="280" w:left="1320" w:header="718" w:footer="720" w:gutter="0"/>
          <w:cols w:space="720"/>
        </w:sectPr>
      </w:pPr>
    </w:p>
    <w:p w14:paraId="3436E8E9" w14:textId="77777777" w:rsidR="00DB5C0E" w:rsidRDefault="00DB5C0E" w:rsidP="00DB5C0E">
      <w:pPr>
        <w:pStyle w:val="BodyText"/>
        <w:spacing w:before="108" w:line="211" w:lineRule="auto"/>
        <w:ind w:right="220" w:firstLine="0"/>
      </w:pPr>
      <w:r>
        <w:lastRenderedPageBreak/>
        <w:t>1984, in either case as in force on the date of the completion certificate issued</w:t>
      </w:r>
      <w:r>
        <w:rPr>
          <w:spacing w:val="-10"/>
        </w:rPr>
        <w:t xml:space="preserve"> </w:t>
      </w:r>
      <w:r>
        <w:t>under</w:t>
      </w:r>
      <w:r>
        <w:rPr>
          <w:spacing w:val="-8"/>
        </w:rPr>
        <w:t xml:space="preserve"> </w:t>
      </w:r>
      <w:r>
        <w:t>regulations</w:t>
      </w:r>
      <w:r>
        <w:rPr>
          <w:spacing w:val="-10"/>
        </w:rPr>
        <w:t xml:space="preserve"> </w:t>
      </w:r>
      <w:r>
        <w:t>made</w:t>
      </w:r>
      <w:r>
        <w:rPr>
          <w:spacing w:val="-7"/>
        </w:rPr>
        <w:t xml:space="preserve"> </w:t>
      </w:r>
      <w:r>
        <w:t>under</w:t>
      </w:r>
      <w:r>
        <w:rPr>
          <w:spacing w:val="-8"/>
        </w:rPr>
        <w:t xml:space="preserve"> </w:t>
      </w:r>
      <w:r>
        <w:t>section</w:t>
      </w:r>
      <w:r>
        <w:rPr>
          <w:spacing w:val="-6"/>
        </w:rPr>
        <w:t xml:space="preserve"> </w:t>
      </w:r>
      <w:r>
        <w:t>1</w:t>
      </w:r>
      <w:r>
        <w:rPr>
          <w:spacing w:val="-7"/>
        </w:rPr>
        <w:t xml:space="preserve"> </w:t>
      </w:r>
      <w:r>
        <w:t>of</w:t>
      </w:r>
      <w:r>
        <w:rPr>
          <w:spacing w:val="-8"/>
        </w:rPr>
        <w:t xml:space="preserve"> </w:t>
      </w:r>
      <w:r>
        <w:t>the</w:t>
      </w:r>
      <w:r>
        <w:rPr>
          <w:spacing w:val="-10"/>
        </w:rPr>
        <w:t xml:space="preserve"> </w:t>
      </w:r>
      <w:r>
        <w:t>Building</w:t>
      </w:r>
      <w:r>
        <w:rPr>
          <w:spacing w:val="-8"/>
        </w:rPr>
        <w:t xml:space="preserve"> </w:t>
      </w:r>
      <w:r>
        <w:t>Act</w:t>
      </w:r>
      <w:r>
        <w:rPr>
          <w:spacing w:val="-8"/>
        </w:rPr>
        <w:t xml:space="preserve"> </w:t>
      </w:r>
      <w:r>
        <w:t>1984 or</w:t>
      </w:r>
      <w:r>
        <w:rPr>
          <w:spacing w:val="-13"/>
        </w:rPr>
        <w:t xml:space="preserve"> </w:t>
      </w:r>
      <w:r>
        <w:t>the</w:t>
      </w:r>
      <w:r>
        <w:rPr>
          <w:spacing w:val="-15"/>
        </w:rPr>
        <w:t xml:space="preserve"> </w:t>
      </w:r>
      <w:r>
        <w:t>date</w:t>
      </w:r>
      <w:r>
        <w:rPr>
          <w:spacing w:val="-15"/>
        </w:rPr>
        <w:t xml:space="preserve"> </w:t>
      </w:r>
      <w:r>
        <w:t>of</w:t>
      </w:r>
      <w:r>
        <w:rPr>
          <w:spacing w:val="-11"/>
        </w:rPr>
        <w:t xml:space="preserve"> </w:t>
      </w:r>
      <w:r>
        <w:t>any</w:t>
      </w:r>
      <w:r>
        <w:rPr>
          <w:spacing w:val="-16"/>
        </w:rPr>
        <w:t xml:space="preserve"> </w:t>
      </w:r>
      <w:r>
        <w:t>final</w:t>
      </w:r>
      <w:r>
        <w:rPr>
          <w:spacing w:val="-15"/>
        </w:rPr>
        <w:t xml:space="preserve"> </w:t>
      </w:r>
      <w:r>
        <w:t>certificate</w:t>
      </w:r>
      <w:r>
        <w:rPr>
          <w:spacing w:val="-12"/>
        </w:rPr>
        <w:t xml:space="preserve"> </w:t>
      </w:r>
      <w:r>
        <w:t>issued</w:t>
      </w:r>
      <w:r>
        <w:rPr>
          <w:spacing w:val="-16"/>
        </w:rPr>
        <w:t xml:space="preserve"> </w:t>
      </w:r>
      <w:r>
        <w:t>under</w:t>
      </w:r>
      <w:r>
        <w:rPr>
          <w:spacing w:val="-16"/>
        </w:rPr>
        <w:t xml:space="preserve"> </w:t>
      </w:r>
      <w:r>
        <w:t>section</w:t>
      </w:r>
      <w:r>
        <w:rPr>
          <w:spacing w:val="-13"/>
        </w:rPr>
        <w:t xml:space="preserve"> </w:t>
      </w:r>
      <w:r>
        <w:t>51</w:t>
      </w:r>
      <w:r>
        <w:rPr>
          <w:spacing w:val="-12"/>
        </w:rPr>
        <w:t xml:space="preserve"> </w:t>
      </w:r>
      <w:r>
        <w:t>of</w:t>
      </w:r>
      <w:r>
        <w:rPr>
          <w:spacing w:val="-12"/>
        </w:rPr>
        <w:t xml:space="preserve"> </w:t>
      </w:r>
      <w:r>
        <w:t>the</w:t>
      </w:r>
      <w:r>
        <w:rPr>
          <w:spacing w:val="-14"/>
        </w:rPr>
        <w:t xml:space="preserve"> </w:t>
      </w:r>
      <w:r>
        <w:t>Building Act 1984.</w:t>
      </w:r>
    </w:p>
    <w:p w14:paraId="39921480" w14:textId="77777777" w:rsidR="00DB5C0E" w:rsidRDefault="00DB5C0E" w:rsidP="00DB5C0E">
      <w:pPr>
        <w:pStyle w:val="ListParagraph"/>
        <w:numPr>
          <w:ilvl w:val="0"/>
          <w:numId w:val="7"/>
        </w:numPr>
        <w:tabs>
          <w:tab w:val="left" w:pos="2151"/>
        </w:tabs>
        <w:spacing w:before="157" w:line="211" w:lineRule="auto"/>
        <w:ind w:left="2150" w:right="219"/>
      </w:pPr>
      <w:r>
        <w:t>Section 168 of the Commonhold and Leasehold Reform Act 2002 is amended as</w:t>
      </w:r>
      <w:r>
        <w:rPr>
          <w:spacing w:val="-3"/>
        </w:rPr>
        <w:t xml:space="preserve"> </w:t>
      </w:r>
      <w:r>
        <w:t>follows.</w:t>
      </w:r>
    </w:p>
    <w:p w14:paraId="342954E2" w14:textId="77777777" w:rsidR="00DB5C0E" w:rsidRDefault="00DB5C0E" w:rsidP="00DB5C0E">
      <w:pPr>
        <w:pStyle w:val="ListParagraph"/>
        <w:numPr>
          <w:ilvl w:val="0"/>
          <w:numId w:val="7"/>
        </w:numPr>
        <w:tabs>
          <w:tab w:val="left" w:pos="2151"/>
        </w:tabs>
        <w:spacing w:before="132"/>
        <w:ind w:left="2150"/>
      </w:pPr>
      <w:r>
        <w:t>After subsection (5)</w:t>
      </w:r>
      <w:r>
        <w:rPr>
          <w:spacing w:val="-5"/>
        </w:rPr>
        <w:t xml:space="preserve"> </w:t>
      </w:r>
      <w:r>
        <w:t>insert—</w:t>
      </w:r>
    </w:p>
    <w:p w14:paraId="30AA2889" w14:textId="77777777" w:rsidR="00DB5C0E" w:rsidRDefault="00DB5C0E" w:rsidP="00DB5C0E">
      <w:pPr>
        <w:pStyle w:val="BodyText"/>
        <w:ind w:left="2287" w:firstLine="0"/>
        <w:jc w:val="left"/>
      </w:pPr>
      <w:r>
        <w:t>(aa) is subject to Section 167(1A) of this Act.</w:t>
      </w:r>
    </w:p>
    <w:p w14:paraId="0AE1DFB9" w14:textId="77777777" w:rsidR="00DB5C0E" w:rsidRDefault="00DB5C0E" w:rsidP="00DB5C0E">
      <w:pPr>
        <w:pStyle w:val="ListParagraph"/>
        <w:numPr>
          <w:ilvl w:val="0"/>
          <w:numId w:val="7"/>
        </w:numPr>
        <w:tabs>
          <w:tab w:val="left" w:pos="2151"/>
        </w:tabs>
        <w:ind w:left="2150"/>
      </w:pPr>
      <w:r>
        <w:t>Section 81 of the Housing Act 1996 is amended as</w:t>
      </w:r>
      <w:r>
        <w:rPr>
          <w:spacing w:val="-17"/>
        </w:rPr>
        <w:t xml:space="preserve"> </w:t>
      </w:r>
      <w:r>
        <w:t>follows.</w:t>
      </w:r>
    </w:p>
    <w:p w14:paraId="1650686B" w14:textId="77777777" w:rsidR="00DB5C0E" w:rsidRDefault="00DB5C0E" w:rsidP="00DB5C0E">
      <w:pPr>
        <w:pStyle w:val="ListParagraph"/>
        <w:numPr>
          <w:ilvl w:val="0"/>
          <w:numId w:val="7"/>
        </w:numPr>
        <w:tabs>
          <w:tab w:val="left" w:pos="2151"/>
        </w:tabs>
        <w:spacing w:before="124"/>
        <w:ind w:left="2150"/>
      </w:pPr>
      <w:r>
        <w:t>After subsection (6) insert</w:t>
      </w:r>
      <w:r>
        <w:rPr>
          <w:spacing w:val="-7"/>
        </w:rPr>
        <w:t xml:space="preserve"> </w:t>
      </w:r>
      <w:r>
        <w:t>–</w:t>
      </w:r>
    </w:p>
    <w:p w14:paraId="25C28ACB" w14:textId="77777777" w:rsidR="00DB5C0E" w:rsidRDefault="00DB5C0E" w:rsidP="00DB5C0E">
      <w:pPr>
        <w:pStyle w:val="BodyText"/>
        <w:spacing w:before="150" w:line="211" w:lineRule="auto"/>
        <w:ind w:right="219" w:firstLine="0"/>
      </w:pPr>
      <w:r>
        <w:t>(6A) Nothing in this section permits the exercise a right of re-entry or forfeiture for failure by a tenant to pay a service charge or administration charge if the service charge or administration charge is an FSO amount under section 167 of the Commonhold and Leasehold Reform Act 2002.</w:t>
      </w:r>
    </w:p>
    <w:p w14:paraId="335350E2" w14:textId="77777777" w:rsidR="00DB5C0E" w:rsidRDefault="00DB5C0E" w:rsidP="00DB5C0E">
      <w:pPr>
        <w:pStyle w:val="ListParagraph"/>
        <w:numPr>
          <w:ilvl w:val="0"/>
          <w:numId w:val="7"/>
        </w:numPr>
        <w:tabs>
          <w:tab w:val="left" w:pos="2151"/>
        </w:tabs>
        <w:spacing w:before="155" w:line="211" w:lineRule="auto"/>
        <w:ind w:left="2150" w:right="219"/>
        <w:jc w:val="both"/>
      </w:pPr>
      <w:r>
        <w:t>For the purposes of section 123 and section 268 of the Insolvency Act 1986 a debt or any part of a debt consisting of an unpaid FSO amount is—</w:t>
      </w:r>
    </w:p>
    <w:p w14:paraId="1E52BE5A" w14:textId="77777777" w:rsidR="00DB5C0E" w:rsidRDefault="00DB5C0E" w:rsidP="00DB5C0E">
      <w:pPr>
        <w:pStyle w:val="ListParagraph"/>
        <w:numPr>
          <w:ilvl w:val="0"/>
          <w:numId w:val="6"/>
        </w:numPr>
        <w:tabs>
          <w:tab w:val="left" w:pos="2511"/>
        </w:tabs>
        <w:spacing w:before="156" w:line="211" w:lineRule="auto"/>
        <w:ind w:right="220"/>
      </w:pPr>
      <w:r>
        <w:t>not</w:t>
      </w:r>
      <w:r>
        <w:rPr>
          <w:spacing w:val="-4"/>
        </w:rPr>
        <w:t xml:space="preserve"> </w:t>
      </w:r>
      <w:r>
        <w:t>due</w:t>
      </w:r>
      <w:r>
        <w:rPr>
          <w:spacing w:val="-5"/>
        </w:rPr>
        <w:t xml:space="preserve"> </w:t>
      </w:r>
      <w:r>
        <w:t>or</w:t>
      </w:r>
      <w:r>
        <w:rPr>
          <w:spacing w:val="-4"/>
        </w:rPr>
        <w:t xml:space="preserve"> </w:t>
      </w:r>
      <w:r>
        <w:t>payable</w:t>
      </w:r>
      <w:r>
        <w:rPr>
          <w:spacing w:val="-6"/>
        </w:rPr>
        <w:t xml:space="preserve"> </w:t>
      </w:r>
      <w:r>
        <w:t>and</w:t>
      </w:r>
      <w:r>
        <w:rPr>
          <w:spacing w:val="-3"/>
        </w:rPr>
        <w:t xml:space="preserve"> </w:t>
      </w:r>
      <w:r>
        <w:t>nor</w:t>
      </w:r>
      <w:r>
        <w:rPr>
          <w:spacing w:val="-3"/>
        </w:rPr>
        <w:t xml:space="preserve"> </w:t>
      </w:r>
      <w:r>
        <w:t>shall</w:t>
      </w:r>
      <w:r>
        <w:rPr>
          <w:spacing w:val="-5"/>
        </w:rPr>
        <w:t xml:space="preserve"> </w:t>
      </w:r>
      <w:r>
        <w:t>it</w:t>
      </w:r>
      <w:r>
        <w:rPr>
          <w:spacing w:val="-5"/>
        </w:rPr>
        <w:t xml:space="preserve"> </w:t>
      </w:r>
      <w:r>
        <w:t>be</w:t>
      </w:r>
      <w:r>
        <w:rPr>
          <w:spacing w:val="-3"/>
        </w:rPr>
        <w:t xml:space="preserve"> </w:t>
      </w:r>
      <w:r>
        <w:t>deemed</w:t>
      </w:r>
      <w:r>
        <w:rPr>
          <w:spacing w:val="-3"/>
        </w:rPr>
        <w:t xml:space="preserve"> </w:t>
      </w:r>
      <w:r>
        <w:t>to</w:t>
      </w:r>
      <w:r>
        <w:rPr>
          <w:spacing w:val="-6"/>
        </w:rPr>
        <w:t xml:space="preserve"> </w:t>
      </w:r>
      <w:r>
        <w:t>be</w:t>
      </w:r>
      <w:r>
        <w:rPr>
          <w:spacing w:val="-6"/>
        </w:rPr>
        <w:t xml:space="preserve"> </w:t>
      </w:r>
      <w:r>
        <w:t>due</w:t>
      </w:r>
      <w:r>
        <w:rPr>
          <w:spacing w:val="-3"/>
        </w:rPr>
        <w:t xml:space="preserve"> </w:t>
      </w:r>
      <w:r>
        <w:t>or</w:t>
      </w:r>
      <w:r>
        <w:rPr>
          <w:spacing w:val="-4"/>
        </w:rPr>
        <w:t xml:space="preserve"> </w:t>
      </w:r>
      <w:r>
        <w:t>payable; and</w:t>
      </w:r>
    </w:p>
    <w:p w14:paraId="675D4AC6" w14:textId="77777777" w:rsidR="00DB5C0E" w:rsidRDefault="00DB5C0E" w:rsidP="00DB5C0E">
      <w:pPr>
        <w:pStyle w:val="ListParagraph"/>
        <w:numPr>
          <w:ilvl w:val="0"/>
          <w:numId w:val="6"/>
        </w:numPr>
        <w:tabs>
          <w:tab w:val="left" w:pos="2511"/>
        </w:tabs>
        <w:spacing w:before="134"/>
        <w:ind w:hanging="361"/>
      </w:pPr>
      <w:r>
        <w:t>deemed to be</w:t>
      </w:r>
      <w:r>
        <w:rPr>
          <w:spacing w:val="-3"/>
        </w:rPr>
        <w:t xml:space="preserve"> </w:t>
      </w:r>
      <w:r>
        <w:t>disputed.</w:t>
      </w:r>
    </w:p>
    <w:p w14:paraId="010A8419" w14:textId="77777777" w:rsidR="00DB5C0E" w:rsidRDefault="00DB5C0E" w:rsidP="00DB5C0E">
      <w:pPr>
        <w:pStyle w:val="ListParagraph"/>
        <w:numPr>
          <w:ilvl w:val="0"/>
          <w:numId w:val="7"/>
        </w:numPr>
        <w:tabs>
          <w:tab w:val="left" w:pos="2291"/>
        </w:tabs>
        <w:ind w:left="2290" w:hanging="500"/>
      </w:pPr>
      <w:r>
        <w:t>This section shall have effect</w:t>
      </w:r>
      <w:r>
        <w:rPr>
          <w:spacing w:val="-12"/>
        </w:rPr>
        <w:t xml:space="preserve"> </w:t>
      </w:r>
      <w:r>
        <w:t>notwithstanding—</w:t>
      </w:r>
    </w:p>
    <w:p w14:paraId="0B7A515B" w14:textId="77777777" w:rsidR="00DB5C0E" w:rsidRDefault="00DB5C0E" w:rsidP="00DB5C0E">
      <w:pPr>
        <w:pStyle w:val="ListParagraph"/>
        <w:numPr>
          <w:ilvl w:val="0"/>
          <w:numId w:val="5"/>
        </w:numPr>
        <w:tabs>
          <w:tab w:val="left" w:pos="2511"/>
        </w:tabs>
        <w:spacing w:before="150" w:line="211" w:lineRule="auto"/>
        <w:ind w:right="220"/>
      </w:pPr>
      <w:r>
        <w:t xml:space="preserve">any term of any agreement, </w:t>
      </w:r>
      <w:proofErr w:type="gramStart"/>
      <w:r>
        <w:t>whether or not</w:t>
      </w:r>
      <w:proofErr w:type="gramEnd"/>
      <w:r>
        <w:t xml:space="preserve"> that agreement was made before the coming into force of this section;</w:t>
      </w:r>
      <w:r>
        <w:rPr>
          <w:spacing w:val="-13"/>
        </w:rPr>
        <w:t xml:space="preserve"> </w:t>
      </w:r>
      <w:r>
        <w:t>or</w:t>
      </w:r>
    </w:p>
    <w:p w14:paraId="6E8FD238" w14:textId="77777777" w:rsidR="00DB5C0E" w:rsidRDefault="00DB5C0E" w:rsidP="00DB5C0E">
      <w:pPr>
        <w:pStyle w:val="ListParagraph"/>
        <w:numPr>
          <w:ilvl w:val="0"/>
          <w:numId w:val="5"/>
        </w:numPr>
        <w:tabs>
          <w:tab w:val="left" w:pos="2511"/>
        </w:tabs>
        <w:spacing w:before="132"/>
        <w:ind w:hanging="361"/>
      </w:pPr>
      <w:r>
        <w:t>any admission made before the coming into force of this section;</w:t>
      </w:r>
      <w:r>
        <w:rPr>
          <w:spacing w:val="-22"/>
        </w:rPr>
        <w:t xml:space="preserve"> </w:t>
      </w:r>
      <w:r>
        <w:t>or</w:t>
      </w:r>
    </w:p>
    <w:p w14:paraId="1E80A299" w14:textId="77777777" w:rsidR="00DB5C0E" w:rsidRDefault="00DB5C0E" w:rsidP="00DB5C0E">
      <w:pPr>
        <w:pStyle w:val="ListParagraph"/>
        <w:numPr>
          <w:ilvl w:val="0"/>
          <w:numId w:val="5"/>
        </w:numPr>
        <w:tabs>
          <w:tab w:val="left" w:pos="2511"/>
        </w:tabs>
        <w:ind w:hanging="361"/>
      </w:pPr>
      <w:r>
        <w:t>any rule or principle of the common law or in</w:t>
      </w:r>
      <w:r>
        <w:rPr>
          <w:spacing w:val="-6"/>
        </w:rPr>
        <w:t xml:space="preserve"> </w:t>
      </w:r>
      <w:r>
        <w:t>equity.”</w:t>
      </w:r>
    </w:p>
    <w:p w14:paraId="47EA8732" w14:textId="77777777" w:rsidR="00DB5C0E" w:rsidRDefault="00DB5C0E" w:rsidP="00DB5C0E">
      <w:pPr>
        <w:pStyle w:val="BodyText"/>
        <w:spacing w:before="0"/>
        <w:ind w:left="0" w:firstLine="0"/>
        <w:jc w:val="left"/>
        <w:rPr>
          <w:sz w:val="26"/>
        </w:rPr>
      </w:pPr>
    </w:p>
    <w:p w14:paraId="0B516B2C" w14:textId="77777777" w:rsidR="00DB5C0E" w:rsidRDefault="00DB5C0E" w:rsidP="00DB5C0E">
      <w:pPr>
        <w:pStyle w:val="BodyText"/>
        <w:tabs>
          <w:tab w:val="left" w:pos="1567"/>
        </w:tabs>
        <w:spacing w:before="214"/>
        <w:ind w:left="720" w:hanging="601"/>
        <w:jc w:val="left"/>
      </w:pPr>
      <w:r w:rsidRPr="00525D72">
        <w:rPr>
          <w:b/>
        </w:rPr>
        <w:t>B</w:t>
      </w:r>
      <w:r w:rsidRPr="00525D72">
        <w:rPr>
          <w:b/>
        </w:rPr>
        <w:tab/>
      </w:r>
      <w:r w:rsidRPr="00525D72">
        <w:rPr>
          <w:b/>
          <w:bCs/>
        </w:rPr>
        <w:t xml:space="preserve">“Duty to apply and to </w:t>
      </w:r>
      <w:proofErr w:type="gramStart"/>
      <w:r w:rsidRPr="00525D72">
        <w:rPr>
          <w:b/>
          <w:bCs/>
        </w:rPr>
        <w:t>make a determination</w:t>
      </w:r>
      <w:proofErr w:type="gramEnd"/>
      <w:r w:rsidRPr="00525D72">
        <w:rPr>
          <w:b/>
          <w:bCs/>
        </w:rPr>
        <w:t xml:space="preserve"> of appropriate persons to contribute to Fire Safety Order costs</w:t>
      </w:r>
    </w:p>
    <w:p w14:paraId="4D8940F0" w14:textId="77777777" w:rsidR="00DB5C0E" w:rsidRDefault="00DB5C0E" w:rsidP="00DB5C0E">
      <w:pPr>
        <w:pStyle w:val="ListParagraph"/>
        <w:numPr>
          <w:ilvl w:val="0"/>
          <w:numId w:val="4"/>
        </w:numPr>
        <w:tabs>
          <w:tab w:val="left" w:pos="2151"/>
        </w:tabs>
        <w:spacing w:before="155" w:line="211" w:lineRule="auto"/>
        <w:ind w:right="220"/>
        <w:jc w:val="both"/>
      </w:pPr>
      <w:r>
        <w:t>A responsible person in respect of domestic premises shall serve a notice on the relevant authority for a determination of the appropriate persons to pay any FSO amount under section 167 of the</w:t>
      </w:r>
      <w:r>
        <w:rPr>
          <w:spacing w:val="-38"/>
        </w:rPr>
        <w:t xml:space="preserve"> </w:t>
      </w:r>
      <w:r>
        <w:t>Commonhold and Leasehold Reform Act 2002 (a “determination</w:t>
      </w:r>
      <w:r>
        <w:rPr>
          <w:spacing w:val="-12"/>
        </w:rPr>
        <w:t xml:space="preserve"> </w:t>
      </w:r>
      <w:r>
        <w:t>notice”).</w:t>
      </w:r>
    </w:p>
    <w:p w14:paraId="258D1BBE" w14:textId="77777777" w:rsidR="00DB5C0E" w:rsidRDefault="00DB5C0E" w:rsidP="00DB5C0E">
      <w:pPr>
        <w:pStyle w:val="ListParagraph"/>
        <w:numPr>
          <w:ilvl w:val="0"/>
          <w:numId w:val="4"/>
        </w:numPr>
        <w:tabs>
          <w:tab w:val="left" w:pos="2151"/>
        </w:tabs>
        <w:spacing w:before="158" w:line="211" w:lineRule="auto"/>
        <w:ind w:right="220"/>
        <w:jc w:val="both"/>
      </w:pPr>
      <w:r>
        <w:t>Within a period of 6 months beginning on the day the responsible person serves on the relevant authority a notice under subsection (1), the relevant authority shall make a determination of the appropriate persons to contribute to any FSO amount in accordance with this</w:t>
      </w:r>
      <w:r>
        <w:rPr>
          <w:spacing w:val="-26"/>
        </w:rPr>
        <w:t xml:space="preserve"> </w:t>
      </w:r>
      <w:r>
        <w:t>Act.</w:t>
      </w:r>
    </w:p>
    <w:p w14:paraId="316E18B9" w14:textId="77777777" w:rsidR="00DB5C0E" w:rsidRDefault="00DB5C0E" w:rsidP="00DB5C0E">
      <w:pPr>
        <w:pStyle w:val="ListParagraph"/>
        <w:numPr>
          <w:ilvl w:val="0"/>
          <w:numId w:val="4"/>
        </w:numPr>
        <w:tabs>
          <w:tab w:val="left" w:pos="2151"/>
        </w:tabs>
        <w:spacing w:before="155" w:line="211" w:lineRule="auto"/>
        <w:ind w:right="219"/>
        <w:jc w:val="both"/>
      </w:pPr>
      <w:r>
        <w:t>Following any determination under subsection (2), the relevant authority</w:t>
      </w:r>
      <w:r>
        <w:rPr>
          <w:spacing w:val="-8"/>
        </w:rPr>
        <w:t xml:space="preserve"> </w:t>
      </w:r>
      <w:r>
        <w:t>shall</w:t>
      </w:r>
      <w:r>
        <w:rPr>
          <w:spacing w:val="-7"/>
        </w:rPr>
        <w:t xml:space="preserve"> </w:t>
      </w:r>
      <w:r>
        <w:t>serve</w:t>
      </w:r>
      <w:r>
        <w:rPr>
          <w:spacing w:val="-7"/>
        </w:rPr>
        <w:t xml:space="preserve"> </w:t>
      </w:r>
      <w:r>
        <w:t>on</w:t>
      </w:r>
      <w:r>
        <w:rPr>
          <w:spacing w:val="-7"/>
        </w:rPr>
        <w:t xml:space="preserve"> </w:t>
      </w:r>
      <w:r>
        <w:t>each</w:t>
      </w:r>
      <w:r>
        <w:rPr>
          <w:spacing w:val="-7"/>
        </w:rPr>
        <w:t xml:space="preserve"> </w:t>
      </w:r>
      <w:r>
        <w:t>person</w:t>
      </w:r>
      <w:r>
        <w:rPr>
          <w:spacing w:val="-7"/>
        </w:rPr>
        <w:t xml:space="preserve"> </w:t>
      </w:r>
      <w:r>
        <w:t>who</w:t>
      </w:r>
      <w:r>
        <w:rPr>
          <w:spacing w:val="-8"/>
        </w:rPr>
        <w:t xml:space="preserve"> </w:t>
      </w:r>
      <w:r>
        <w:t>that</w:t>
      </w:r>
      <w:r>
        <w:rPr>
          <w:spacing w:val="-7"/>
        </w:rPr>
        <w:t xml:space="preserve"> </w:t>
      </w:r>
      <w:r>
        <w:t>relevant</w:t>
      </w:r>
      <w:r>
        <w:rPr>
          <w:spacing w:val="-8"/>
        </w:rPr>
        <w:t xml:space="preserve"> </w:t>
      </w:r>
      <w:r>
        <w:t>authority</w:t>
      </w:r>
      <w:r>
        <w:rPr>
          <w:spacing w:val="-7"/>
        </w:rPr>
        <w:t xml:space="preserve"> </w:t>
      </w:r>
      <w:r>
        <w:t>deems an</w:t>
      </w:r>
      <w:r>
        <w:rPr>
          <w:spacing w:val="-8"/>
        </w:rPr>
        <w:t xml:space="preserve"> </w:t>
      </w:r>
      <w:r>
        <w:t>appropriate</w:t>
      </w:r>
      <w:r>
        <w:rPr>
          <w:spacing w:val="-10"/>
        </w:rPr>
        <w:t xml:space="preserve"> </w:t>
      </w:r>
      <w:r>
        <w:t>person</w:t>
      </w:r>
      <w:r>
        <w:rPr>
          <w:spacing w:val="-10"/>
        </w:rPr>
        <w:t xml:space="preserve"> </w:t>
      </w:r>
      <w:r>
        <w:t>a</w:t>
      </w:r>
      <w:r>
        <w:rPr>
          <w:spacing w:val="-10"/>
        </w:rPr>
        <w:t xml:space="preserve"> </w:t>
      </w:r>
      <w:r>
        <w:t>notice</w:t>
      </w:r>
      <w:r>
        <w:rPr>
          <w:spacing w:val="-12"/>
        </w:rPr>
        <w:t xml:space="preserve"> </w:t>
      </w:r>
      <w:r>
        <w:t>(in</w:t>
      </w:r>
      <w:r>
        <w:rPr>
          <w:spacing w:val="-10"/>
        </w:rPr>
        <w:t xml:space="preserve"> </w:t>
      </w:r>
      <w:r>
        <w:t>this</w:t>
      </w:r>
      <w:r>
        <w:rPr>
          <w:spacing w:val="-12"/>
        </w:rPr>
        <w:t xml:space="preserve"> </w:t>
      </w:r>
      <w:r>
        <w:t>Act</w:t>
      </w:r>
      <w:r>
        <w:rPr>
          <w:spacing w:val="-12"/>
        </w:rPr>
        <w:t xml:space="preserve"> </w:t>
      </w:r>
      <w:r>
        <w:t>referred</w:t>
      </w:r>
      <w:r>
        <w:rPr>
          <w:spacing w:val="-10"/>
        </w:rPr>
        <w:t xml:space="preserve"> </w:t>
      </w:r>
      <w:r>
        <w:t>to</w:t>
      </w:r>
      <w:r>
        <w:rPr>
          <w:spacing w:val="-7"/>
        </w:rPr>
        <w:t xml:space="preserve"> </w:t>
      </w:r>
      <w:r>
        <w:t>as</w:t>
      </w:r>
      <w:r>
        <w:rPr>
          <w:spacing w:val="-11"/>
        </w:rPr>
        <w:t xml:space="preserve"> </w:t>
      </w:r>
      <w:r>
        <w:t>a</w:t>
      </w:r>
      <w:r>
        <w:rPr>
          <w:spacing w:val="-8"/>
        </w:rPr>
        <w:t xml:space="preserve"> </w:t>
      </w:r>
      <w:r>
        <w:t>“contribution notice”)</w:t>
      </w:r>
      <w:r>
        <w:rPr>
          <w:spacing w:val="-6"/>
        </w:rPr>
        <w:t xml:space="preserve"> </w:t>
      </w:r>
      <w:r>
        <w:t>specifying</w:t>
      </w:r>
      <w:r>
        <w:rPr>
          <w:spacing w:val="-7"/>
        </w:rPr>
        <w:t xml:space="preserve"> </w:t>
      </w:r>
      <w:r>
        <w:t>what</w:t>
      </w:r>
      <w:r>
        <w:rPr>
          <w:spacing w:val="-6"/>
        </w:rPr>
        <w:t xml:space="preserve"> </w:t>
      </w:r>
      <w:r>
        <w:t>that</w:t>
      </w:r>
      <w:r>
        <w:rPr>
          <w:spacing w:val="-6"/>
        </w:rPr>
        <w:t xml:space="preserve"> </w:t>
      </w:r>
      <w:r>
        <w:t>person</w:t>
      </w:r>
      <w:r>
        <w:rPr>
          <w:spacing w:val="-5"/>
        </w:rPr>
        <w:t xml:space="preserve"> </w:t>
      </w:r>
      <w:r>
        <w:t>is</w:t>
      </w:r>
      <w:r>
        <w:rPr>
          <w:spacing w:val="-6"/>
        </w:rPr>
        <w:t xml:space="preserve"> </w:t>
      </w:r>
      <w:r>
        <w:t>to</w:t>
      </w:r>
      <w:r>
        <w:rPr>
          <w:spacing w:val="-5"/>
        </w:rPr>
        <w:t xml:space="preserve"> </w:t>
      </w:r>
      <w:r>
        <w:t>pay</w:t>
      </w:r>
      <w:r>
        <w:rPr>
          <w:spacing w:val="-6"/>
        </w:rPr>
        <w:t xml:space="preserve"> </w:t>
      </w:r>
      <w:r>
        <w:t>by</w:t>
      </w:r>
      <w:r>
        <w:rPr>
          <w:spacing w:val="-8"/>
        </w:rPr>
        <w:t xml:space="preserve"> </w:t>
      </w:r>
      <w:r>
        <w:t>way</w:t>
      </w:r>
      <w:r>
        <w:rPr>
          <w:spacing w:val="-6"/>
        </w:rPr>
        <w:t xml:space="preserve"> </w:t>
      </w:r>
      <w:r>
        <w:t>of</w:t>
      </w:r>
      <w:r>
        <w:rPr>
          <w:spacing w:val="-6"/>
        </w:rPr>
        <w:t xml:space="preserve"> </w:t>
      </w:r>
      <w:r>
        <w:t>contribution</w:t>
      </w:r>
      <w:r>
        <w:rPr>
          <w:spacing w:val="-3"/>
        </w:rPr>
        <w:t xml:space="preserve"> </w:t>
      </w:r>
      <w:r>
        <w:t>to the relevant FSO</w:t>
      </w:r>
      <w:r>
        <w:rPr>
          <w:spacing w:val="-3"/>
        </w:rPr>
        <w:t xml:space="preserve"> </w:t>
      </w:r>
      <w:r>
        <w:t>amount.</w:t>
      </w:r>
    </w:p>
    <w:p w14:paraId="67B73CBC" w14:textId="77777777" w:rsidR="00DB5C0E" w:rsidRDefault="00DB5C0E" w:rsidP="00DB5C0E">
      <w:pPr>
        <w:pStyle w:val="ListParagraph"/>
        <w:numPr>
          <w:ilvl w:val="0"/>
          <w:numId w:val="4"/>
        </w:numPr>
        <w:tabs>
          <w:tab w:val="left" w:pos="2151"/>
        </w:tabs>
        <w:spacing w:before="132"/>
        <w:jc w:val="both"/>
      </w:pPr>
      <w:r>
        <w:t>The “relevant</w:t>
      </w:r>
      <w:r>
        <w:rPr>
          <w:spacing w:val="-1"/>
        </w:rPr>
        <w:t xml:space="preserve"> </w:t>
      </w:r>
      <w:r>
        <w:t>authority”—</w:t>
      </w:r>
    </w:p>
    <w:p w14:paraId="7BA1D5BB" w14:textId="77777777" w:rsidR="00DB5C0E" w:rsidRDefault="00DB5C0E" w:rsidP="00DB5C0E">
      <w:pPr>
        <w:jc w:val="both"/>
        <w:sectPr w:rsidR="00DB5C0E">
          <w:pgSz w:w="11900" w:h="16840"/>
          <w:pgMar w:top="1320" w:right="1320" w:bottom="280" w:left="1320" w:header="718" w:footer="0" w:gutter="0"/>
          <w:cols w:space="720"/>
        </w:sectPr>
      </w:pPr>
    </w:p>
    <w:p w14:paraId="0A91542F" w14:textId="77777777" w:rsidR="00DB5C0E" w:rsidRDefault="00DB5C0E" w:rsidP="00DB5C0E">
      <w:pPr>
        <w:pStyle w:val="ListParagraph"/>
        <w:numPr>
          <w:ilvl w:val="1"/>
          <w:numId w:val="4"/>
        </w:numPr>
        <w:tabs>
          <w:tab w:val="left" w:pos="2463"/>
        </w:tabs>
        <w:spacing w:before="82"/>
        <w:ind w:hanging="313"/>
      </w:pPr>
      <w:r>
        <w:lastRenderedPageBreak/>
        <w:t>in relation to premises in England, means the Secretary of</w:t>
      </w:r>
      <w:r>
        <w:rPr>
          <w:spacing w:val="-12"/>
        </w:rPr>
        <w:t xml:space="preserve"> </w:t>
      </w:r>
      <w:proofErr w:type="gramStart"/>
      <w:r>
        <w:t>State;</w:t>
      </w:r>
      <w:proofErr w:type="gramEnd"/>
    </w:p>
    <w:p w14:paraId="04573C43" w14:textId="77777777" w:rsidR="00DB5C0E" w:rsidRDefault="00DB5C0E" w:rsidP="00DB5C0E">
      <w:pPr>
        <w:pStyle w:val="ListParagraph"/>
        <w:numPr>
          <w:ilvl w:val="1"/>
          <w:numId w:val="4"/>
        </w:numPr>
        <w:tabs>
          <w:tab w:val="left" w:pos="2474"/>
        </w:tabs>
        <w:ind w:left="2473" w:hanging="324"/>
      </w:pPr>
      <w:r>
        <w:t>in relation to premises in Wales, means the Welsh</w:t>
      </w:r>
      <w:r>
        <w:rPr>
          <w:spacing w:val="-13"/>
        </w:rPr>
        <w:t xml:space="preserve"> </w:t>
      </w:r>
      <w:r>
        <w:t>Ministers.</w:t>
      </w:r>
    </w:p>
    <w:p w14:paraId="21AF77C3" w14:textId="77777777" w:rsidR="00DB5C0E" w:rsidRDefault="00DB5C0E" w:rsidP="00DB5C0E">
      <w:pPr>
        <w:pStyle w:val="ListParagraph"/>
        <w:numPr>
          <w:ilvl w:val="0"/>
          <w:numId w:val="4"/>
        </w:numPr>
        <w:tabs>
          <w:tab w:val="left" w:pos="2151"/>
        </w:tabs>
        <w:spacing w:before="150" w:line="211" w:lineRule="auto"/>
        <w:ind w:right="219"/>
        <w:jc w:val="both"/>
      </w:pPr>
      <w:r>
        <w:t>Where two or more persons are appropriate persons the contribution notice served on each of them shall state the proportion, determined under section (</w:t>
      </w:r>
      <w:r>
        <w:rPr>
          <w:i/>
        </w:rPr>
        <w:t>Appropriate persons for FSO costs</w:t>
      </w:r>
      <w:r>
        <w:t>), which each of them respectively is liable to</w:t>
      </w:r>
      <w:r>
        <w:rPr>
          <w:spacing w:val="-5"/>
        </w:rPr>
        <w:t xml:space="preserve"> </w:t>
      </w:r>
      <w:r>
        <w:t>bear.</w:t>
      </w:r>
    </w:p>
    <w:p w14:paraId="639227C3" w14:textId="77777777" w:rsidR="00DB5C0E" w:rsidRDefault="00DB5C0E" w:rsidP="00DB5C0E">
      <w:pPr>
        <w:pStyle w:val="ListParagraph"/>
        <w:numPr>
          <w:ilvl w:val="0"/>
          <w:numId w:val="4"/>
        </w:numPr>
        <w:tabs>
          <w:tab w:val="left" w:pos="2151"/>
        </w:tabs>
        <w:spacing w:before="158" w:line="211" w:lineRule="auto"/>
        <w:ind w:right="222"/>
        <w:jc w:val="both"/>
      </w:pPr>
      <w:r>
        <w:t>Contribution</w:t>
      </w:r>
      <w:r>
        <w:rPr>
          <w:spacing w:val="-16"/>
        </w:rPr>
        <w:t xml:space="preserve"> </w:t>
      </w:r>
      <w:r>
        <w:t>notices</w:t>
      </w:r>
      <w:r>
        <w:rPr>
          <w:spacing w:val="-18"/>
        </w:rPr>
        <w:t xml:space="preserve"> </w:t>
      </w:r>
      <w:r>
        <w:t>may</w:t>
      </w:r>
      <w:r>
        <w:rPr>
          <w:spacing w:val="-14"/>
        </w:rPr>
        <w:t xml:space="preserve"> </w:t>
      </w:r>
      <w:r>
        <w:t>require</w:t>
      </w:r>
      <w:r>
        <w:rPr>
          <w:spacing w:val="-13"/>
        </w:rPr>
        <w:t xml:space="preserve"> </w:t>
      </w:r>
      <w:r>
        <w:t>contributions</w:t>
      </w:r>
      <w:r>
        <w:rPr>
          <w:spacing w:val="-13"/>
        </w:rPr>
        <w:t xml:space="preserve"> </w:t>
      </w:r>
      <w:r>
        <w:t>in</w:t>
      </w:r>
      <w:r>
        <w:rPr>
          <w:spacing w:val="-15"/>
        </w:rPr>
        <w:t xml:space="preserve"> </w:t>
      </w:r>
      <w:r>
        <w:t>cash</w:t>
      </w:r>
      <w:r>
        <w:rPr>
          <w:spacing w:val="-13"/>
        </w:rPr>
        <w:t xml:space="preserve"> </w:t>
      </w:r>
      <w:r>
        <w:t>or</w:t>
      </w:r>
      <w:r>
        <w:rPr>
          <w:spacing w:val="-13"/>
        </w:rPr>
        <w:t xml:space="preserve"> </w:t>
      </w:r>
      <w:r>
        <w:t>in</w:t>
      </w:r>
      <w:r>
        <w:rPr>
          <w:spacing w:val="-14"/>
        </w:rPr>
        <w:t xml:space="preserve"> </w:t>
      </w:r>
      <w:r>
        <w:t>kind</w:t>
      </w:r>
      <w:r>
        <w:rPr>
          <w:spacing w:val="-16"/>
        </w:rPr>
        <w:t xml:space="preserve"> </w:t>
      </w:r>
      <w:r>
        <w:t>or</w:t>
      </w:r>
      <w:r>
        <w:rPr>
          <w:spacing w:val="-13"/>
        </w:rPr>
        <w:t xml:space="preserve"> </w:t>
      </w:r>
      <w:r>
        <w:t xml:space="preserve">any combination of cash or </w:t>
      </w:r>
      <w:proofErr w:type="gramStart"/>
      <w:r>
        <w:t>in kind</w:t>
      </w:r>
      <w:proofErr w:type="gramEnd"/>
      <w:r>
        <w:rPr>
          <w:spacing w:val="-2"/>
        </w:rPr>
        <w:t xml:space="preserve"> </w:t>
      </w:r>
      <w:r>
        <w:t>contributions.</w:t>
      </w:r>
    </w:p>
    <w:p w14:paraId="790C5F52" w14:textId="77777777" w:rsidR="00DB5C0E" w:rsidRDefault="00DB5C0E" w:rsidP="00DB5C0E">
      <w:pPr>
        <w:pStyle w:val="ListParagraph"/>
        <w:numPr>
          <w:ilvl w:val="0"/>
          <w:numId w:val="4"/>
        </w:numPr>
        <w:tabs>
          <w:tab w:val="left" w:pos="2151"/>
        </w:tabs>
        <w:spacing w:before="157" w:line="211" w:lineRule="auto"/>
        <w:ind w:right="218"/>
        <w:jc w:val="both"/>
      </w:pPr>
      <w:r>
        <w:t>Contribution</w:t>
      </w:r>
      <w:r>
        <w:rPr>
          <w:spacing w:val="-16"/>
        </w:rPr>
        <w:t xml:space="preserve"> </w:t>
      </w:r>
      <w:r>
        <w:t>notices</w:t>
      </w:r>
      <w:r>
        <w:rPr>
          <w:spacing w:val="-18"/>
        </w:rPr>
        <w:t xml:space="preserve"> </w:t>
      </w:r>
      <w:r>
        <w:t>may</w:t>
      </w:r>
      <w:r>
        <w:rPr>
          <w:spacing w:val="-14"/>
        </w:rPr>
        <w:t xml:space="preserve"> </w:t>
      </w:r>
      <w:r>
        <w:t>require</w:t>
      </w:r>
      <w:r>
        <w:rPr>
          <w:spacing w:val="-13"/>
        </w:rPr>
        <w:t xml:space="preserve"> </w:t>
      </w:r>
      <w:r>
        <w:t>contributions</w:t>
      </w:r>
      <w:r>
        <w:rPr>
          <w:spacing w:val="-12"/>
        </w:rPr>
        <w:t xml:space="preserve"> </w:t>
      </w:r>
      <w:r>
        <w:t>in</w:t>
      </w:r>
      <w:r>
        <w:rPr>
          <w:spacing w:val="-16"/>
        </w:rPr>
        <w:t xml:space="preserve"> </w:t>
      </w:r>
      <w:r>
        <w:t>cash</w:t>
      </w:r>
      <w:r>
        <w:rPr>
          <w:spacing w:val="-13"/>
        </w:rPr>
        <w:t xml:space="preserve"> </w:t>
      </w:r>
      <w:r>
        <w:t>or</w:t>
      </w:r>
      <w:r>
        <w:rPr>
          <w:spacing w:val="-13"/>
        </w:rPr>
        <w:t xml:space="preserve"> </w:t>
      </w:r>
      <w:r>
        <w:t>in</w:t>
      </w:r>
      <w:r>
        <w:rPr>
          <w:spacing w:val="-14"/>
        </w:rPr>
        <w:t xml:space="preserve"> </w:t>
      </w:r>
      <w:r>
        <w:t>kind</w:t>
      </w:r>
      <w:r>
        <w:rPr>
          <w:spacing w:val="-15"/>
        </w:rPr>
        <w:t xml:space="preserve"> </w:t>
      </w:r>
      <w:r>
        <w:t>or</w:t>
      </w:r>
      <w:r>
        <w:rPr>
          <w:spacing w:val="-14"/>
        </w:rPr>
        <w:t xml:space="preserve"> </w:t>
      </w:r>
      <w:r>
        <w:t>any combination</w:t>
      </w:r>
      <w:r>
        <w:rPr>
          <w:spacing w:val="-3"/>
        </w:rPr>
        <w:t xml:space="preserve"> </w:t>
      </w:r>
      <w:r>
        <w:t>of</w:t>
      </w:r>
      <w:r>
        <w:rPr>
          <w:spacing w:val="-3"/>
        </w:rPr>
        <w:t xml:space="preserve"> </w:t>
      </w:r>
      <w:r>
        <w:t>cash</w:t>
      </w:r>
      <w:r>
        <w:rPr>
          <w:spacing w:val="-3"/>
        </w:rPr>
        <w:t xml:space="preserve"> </w:t>
      </w:r>
      <w:r>
        <w:t>or</w:t>
      </w:r>
      <w:r>
        <w:rPr>
          <w:spacing w:val="-5"/>
        </w:rPr>
        <w:t xml:space="preserve"> </w:t>
      </w:r>
      <w:r>
        <w:t>in</w:t>
      </w:r>
      <w:r>
        <w:rPr>
          <w:spacing w:val="-5"/>
        </w:rPr>
        <w:t xml:space="preserve"> </w:t>
      </w:r>
      <w:r>
        <w:t>kind</w:t>
      </w:r>
      <w:r>
        <w:rPr>
          <w:spacing w:val="-4"/>
        </w:rPr>
        <w:t xml:space="preserve"> </w:t>
      </w:r>
      <w:r>
        <w:t>in</w:t>
      </w:r>
      <w:r>
        <w:rPr>
          <w:spacing w:val="-5"/>
        </w:rPr>
        <w:t xml:space="preserve"> </w:t>
      </w:r>
      <w:r>
        <w:t>respect</w:t>
      </w:r>
      <w:r>
        <w:rPr>
          <w:spacing w:val="-6"/>
        </w:rPr>
        <w:t xml:space="preserve"> </w:t>
      </w:r>
      <w:r>
        <w:t>of</w:t>
      </w:r>
      <w:r>
        <w:rPr>
          <w:spacing w:val="-2"/>
        </w:rPr>
        <w:t xml:space="preserve"> </w:t>
      </w:r>
      <w:r>
        <w:t>reimbursement</w:t>
      </w:r>
      <w:r>
        <w:rPr>
          <w:spacing w:val="-6"/>
        </w:rPr>
        <w:t xml:space="preserve"> </w:t>
      </w:r>
      <w:r>
        <w:t>of</w:t>
      </w:r>
      <w:r>
        <w:rPr>
          <w:spacing w:val="-3"/>
        </w:rPr>
        <w:t xml:space="preserve"> </w:t>
      </w:r>
      <w:r>
        <w:t>amounts previously paid toward any FSO amount, including payments before the coming into force of this</w:t>
      </w:r>
      <w:r>
        <w:rPr>
          <w:spacing w:val="-11"/>
        </w:rPr>
        <w:t xml:space="preserve"> </w:t>
      </w:r>
      <w:r>
        <w:t>Act.</w:t>
      </w:r>
    </w:p>
    <w:p w14:paraId="6AB1B3D0" w14:textId="77777777" w:rsidR="00DB5C0E" w:rsidRDefault="00DB5C0E" w:rsidP="00DB5C0E">
      <w:pPr>
        <w:pStyle w:val="ListParagraph"/>
        <w:numPr>
          <w:ilvl w:val="0"/>
          <w:numId w:val="4"/>
        </w:numPr>
        <w:tabs>
          <w:tab w:val="left" w:pos="2151"/>
        </w:tabs>
        <w:spacing w:before="130"/>
        <w:jc w:val="both"/>
      </w:pPr>
      <w:r>
        <w:t>Regulations may make provision for or in connection</w:t>
      </w:r>
      <w:r>
        <w:rPr>
          <w:spacing w:val="-6"/>
        </w:rPr>
        <w:t xml:space="preserve"> </w:t>
      </w:r>
      <w:r>
        <w:t>with—</w:t>
      </w:r>
    </w:p>
    <w:p w14:paraId="3E4C2979" w14:textId="77777777" w:rsidR="00DB5C0E" w:rsidRDefault="00DB5C0E" w:rsidP="00DB5C0E">
      <w:pPr>
        <w:pStyle w:val="ListParagraph"/>
        <w:numPr>
          <w:ilvl w:val="1"/>
          <w:numId w:val="4"/>
        </w:numPr>
        <w:tabs>
          <w:tab w:val="left" w:pos="2511"/>
        </w:tabs>
        <w:spacing w:before="150" w:line="211" w:lineRule="auto"/>
        <w:ind w:left="2510" w:right="222" w:hanging="360"/>
      </w:pPr>
      <w:r>
        <w:t>guidance in relation to the determination of shares of appropriate persons under contribution notices;</w:t>
      </w:r>
      <w:r>
        <w:rPr>
          <w:spacing w:val="-1"/>
        </w:rPr>
        <w:t xml:space="preserve"> </w:t>
      </w:r>
      <w:r>
        <w:t>or</w:t>
      </w:r>
    </w:p>
    <w:p w14:paraId="0ADFEAEA" w14:textId="77777777" w:rsidR="00DB5C0E" w:rsidRDefault="00DB5C0E" w:rsidP="00DB5C0E">
      <w:pPr>
        <w:pStyle w:val="ListParagraph"/>
        <w:numPr>
          <w:ilvl w:val="1"/>
          <w:numId w:val="4"/>
        </w:numPr>
        <w:tabs>
          <w:tab w:val="left" w:pos="2511"/>
        </w:tabs>
        <w:spacing w:before="132"/>
        <w:ind w:left="2510" w:hanging="361"/>
      </w:pPr>
      <w:r>
        <w:t>the form or content of contribution notices;</w:t>
      </w:r>
      <w:r>
        <w:rPr>
          <w:spacing w:val="-10"/>
        </w:rPr>
        <w:t xml:space="preserve"> </w:t>
      </w:r>
      <w:r>
        <w:t>or</w:t>
      </w:r>
    </w:p>
    <w:p w14:paraId="4B43D252" w14:textId="77777777" w:rsidR="00DB5C0E" w:rsidRDefault="00DB5C0E" w:rsidP="00DB5C0E">
      <w:pPr>
        <w:pStyle w:val="ListParagraph"/>
        <w:numPr>
          <w:ilvl w:val="1"/>
          <w:numId w:val="4"/>
        </w:numPr>
        <w:tabs>
          <w:tab w:val="left" w:pos="2511"/>
        </w:tabs>
        <w:spacing w:before="124"/>
        <w:ind w:left="2510" w:hanging="361"/>
      </w:pPr>
      <w:r>
        <w:t>the form or content of determination notices;</w:t>
      </w:r>
      <w:r>
        <w:rPr>
          <w:spacing w:val="-8"/>
        </w:rPr>
        <w:t xml:space="preserve"> </w:t>
      </w:r>
      <w:r>
        <w:t>or</w:t>
      </w:r>
    </w:p>
    <w:p w14:paraId="03E8804A" w14:textId="77777777" w:rsidR="00DB5C0E" w:rsidRDefault="00DB5C0E" w:rsidP="00DB5C0E">
      <w:pPr>
        <w:pStyle w:val="ListParagraph"/>
        <w:numPr>
          <w:ilvl w:val="1"/>
          <w:numId w:val="4"/>
        </w:numPr>
        <w:tabs>
          <w:tab w:val="left" w:pos="2511"/>
        </w:tabs>
        <w:spacing w:before="151" w:line="211" w:lineRule="auto"/>
        <w:ind w:left="2510" w:right="222" w:hanging="360"/>
        <w:jc w:val="both"/>
      </w:pPr>
      <w:r>
        <w:t>any</w:t>
      </w:r>
      <w:r>
        <w:rPr>
          <w:spacing w:val="-13"/>
        </w:rPr>
        <w:t xml:space="preserve"> </w:t>
      </w:r>
      <w:r>
        <w:t>steps</w:t>
      </w:r>
      <w:r>
        <w:rPr>
          <w:spacing w:val="-10"/>
        </w:rPr>
        <w:t xml:space="preserve"> </w:t>
      </w:r>
      <w:r>
        <w:t>of</w:t>
      </w:r>
      <w:r>
        <w:rPr>
          <w:spacing w:val="-13"/>
        </w:rPr>
        <w:t xml:space="preserve"> </w:t>
      </w:r>
      <w:r>
        <w:t>a</w:t>
      </w:r>
      <w:r>
        <w:rPr>
          <w:spacing w:val="-10"/>
        </w:rPr>
        <w:t xml:space="preserve"> </w:t>
      </w:r>
      <w:r>
        <w:t>procedural</w:t>
      </w:r>
      <w:r>
        <w:rPr>
          <w:spacing w:val="-13"/>
        </w:rPr>
        <w:t xml:space="preserve"> </w:t>
      </w:r>
      <w:r>
        <w:t>nature</w:t>
      </w:r>
      <w:r>
        <w:rPr>
          <w:spacing w:val="-10"/>
        </w:rPr>
        <w:t xml:space="preserve"> </w:t>
      </w:r>
      <w:r>
        <w:t>which</w:t>
      </w:r>
      <w:r>
        <w:rPr>
          <w:spacing w:val="-8"/>
        </w:rPr>
        <w:t xml:space="preserve"> </w:t>
      </w:r>
      <w:r>
        <w:t>are</w:t>
      </w:r>
      <w:r>
        <w:rPr>
          <w:spacing w:val="-12"/>
        </w:rPr>
        <w:t xml:space="preserve"> </w:t>
      </w:r>
      <w:r>
        <w:t>to</w:t>
      </w:r>
      <w:r>
        <w:rPr>
          <w:spacing w:val="-10"/>
        </w:rPr>
        <w:t xml:space="preserve"> </w:t>
      </w:r>
      <w:r>
        <w:t>be</w:t>
      </w:r>
      <w:r>
        <w:rPr>
          <w:spacing w:val="-12"/>
        </w:rPr>
        <w:t xml:space="preserve"> </w:t>
      </w:r>
      <w:r>
        <w:t>taken</w:t>
      </w:r>
      <w:r>
        <w:rPr>
          <w:spacing w:val="-11"/>
        </w:rPr>
        <w:t xml:space="preserve"> </w:t>
      </w:r>
      <w:r>
        <w:t>in</w:t>
      </w:r>
      <w:r>
        <w:rPr>
          <w:spacing w:val="-10"/>
        </w:rPr>
        <w:t xml:space="preserve"> </w:t>
      </w:r>
      <w:r>
        <w:t>connection with, or in consequence of, the service of a contribution notice or a determination</w:t>
      </w:r>
      <w:r>
        <w:rPr>
          <w:spacing w:val="-2"/>
        </w:rPr>
        <w:t xml:space="preserve"> </w:t>
      </w:r>
      <w:r>
        <w:t>notice.</w:t>
      </w:r>
    </w:p>
    <w:p w14:paraId="098E4AF6" w14:textId="77777777" w:rsidR="00DB5C0E" w:rsidRDefault="00DB5C0E" w:rsidP="00DB5C0E">
      <w:pPr>
        <w:pStyle w:val="ListParagraph"/>
        <w:numPr>
          <w:ilvl w:val="0"/>
          <w:numId w:val="4"/>
        </w:numPr>
        <w:tabs>
          <w:tab w:val="left" w:pos="2151"/>
        </w:tabs>
        <w:spacing w:before="130"/>
        <w:jc w:val="both"/>
      </w:pPr>
      <w:r>
        <w:t>Regulations under this section</w:t>
      </w:r>
      <w:r>
        <w:rPr>
          <w:spacing w:val="-5"/>
        </w:rPr>
        <w:t xml:space="preserve"> </w:t>
      </w:r>
      <w:r>
        <w:t>—</w:t>
      </w:r>
    </w:p>
    <w:p w14:paraId="32DE7C0F" w14:textId="77777777" w:rsidR="00DB5C0E" w:rsidRDefault="00DB5C0E" w:rsidP="00DB5C0E">
      <w:pPr>
        <w:pStyle w:val="ListParagraph"/>
        <w:numPr>
          <w:ilvl w:val="1"/>
          <w:numId w:val="4"/>
        </w:numPr>
        <w:tabs>
          <w:tab w:val="left" w:pos="2511"/>
        </w:tabs>
        <w:ind w:left="2510" w:hanging="361"/>
        <w:jc w:val="both"/>
      </w:pPr>
      <w:r>
        <w:t>may make different provision for different</w:t>
      </w:r>
      <w:r>
        <w:rPr>
          <w:spacing w:val="-19"/>
        </w:rPr>
        <w:t xml:space="preserve"> </w:t>
      </w:r>
      <w:proofErr w:type="gramStart"/>
      <w:r>
        <w:t>purposes;</w:t>
      </w:r>
      <w:proofErr w:type="gramEnd"/>
    </w:p>
    <w:p w14:paraId="1C4A2A3C" w14:textId="77777777" w:rsidR="00DB5C0E" w:rsidRDefault="00DB5C0E" w:rsidP="00DB5C0E">
      <w:pPr>
        <w:pStyle w:val="ListParagraph"/>
        <w:numPr>
          <w:ilvl w:val="1"/>
          <w:numId w:val="4"/>
        </w:numPr>
        <w:tabs>
          <w:tab w:val="left" w:pos="2511"/>
        </w:tabs>
        <w:ind w:left="2510" w:hanging="361"/>
        <w:jc w:val="both"/>
      </w:pPr>
      <w:r>
        <w:t xml:space="preserve">may make transitional, </w:t>
      </w:r>
      <w:proofErr w:type="gramStart"/>
      <w:r>
        <w:t>transitory</w:t>
      </w:r>
      <w:proofErr w:type="gramEnd"/>
      <w:r>
        <w:t xml:space="preserve"> or saving</w:t>
      </w:r>
      <w:r>
        <w:rPr>
          <w:spacing w:val="-16"/>
        </w:rPr>
        <w:t xml:space="preserve"> </w:t>
      </w:r>
      <w:r>
        <w:t>provision.</w:t>
      </w:r>
    </w:p>
    <w:p w14:paraId="64431104" w14:textId="77777777" w:rsidR="00DB5C0E" w:rsidRDefault="00DB5C0E" w:rsidP="00DB5C0E">
      <w:pPr>
        <w:pStyle w:val="ListParagraph"/>
        <w:numPr>
          <w:ilvl w:val="0"/>
          <w:numId w:val="4"/>
        </w:numPr>
        <w:tabs>
          <w:tab w:val="left" w:pos="2291"/>
        </w:tabs>
        <w:spacing w:before="150" w:line="211" w:lineRule="auto"/>
        <w:ind w:right="219"/>
        <w:jc w:val="both"/>
      </w:pPr>
      <w:r>
        <w:t>Before making regulations under this section the relevant authority must consult anyone that appears to the relevant authority to be appropriate.</w:t>
      </w:r>
    </w:p>
    <w:p w14:paraId="7BF0C2C1" w14:textId="77777777" w:rsidR="00DB5C0E" w:rsidRDefault="00DB5C0E" w:rsidP="00DB5C0E">
      <w:pPr>
        <w:pStyle w:val="ListParagraph"/>
        <w:numPr>
          <w:ilvl w:val="0"/>
          <w:numId w:val="4"/>
        </w:numPr>
        <w:tabs>
          <w:tab w:val="left" w:pos="2291"/>
        </w:tabs>
        <w:spacing w:before="159" w:line="211" w:lineRule="auto"/>
        <w:ind w:right="218"/>
        <w:jc w:val="both"/>
      </w:pPr>
      <w:r>
        <w:t>A statutory instrument containing regulations made by the Secretary of State under this section may not be made unless a draft of the instrument has been laid before and approved by a resolution of each House of</w:t>
      </w:r>
      <w:r>
        <w:rPr>
          <w:spacing w:val="-4"/>
        </w:rPr>
        <w:t xml:space="preserve"> </w:t>
      </w:r>
      <w:r>
        <w:t>Parliament.</w:t>
      </w:r>
    </w:p>
    <w:p w14:paraId="5E6C736D" w14:textId="77777777" w:rsidR="00DB5C0E" w:rsidRDefault="00DB5C0E" w:rsidP="00DB5C0E">
      <w:pPr>
        <w:pStyle w:val="ListParagraph"/>
        <w:numPr>
          <w:ilvl w:val="0"/>
          <w:numId w:val="4"/>
        </w:numPr>
        <w:tabs>
          <w:tab w:val="left" w:pos="2291"/>
        </w:tabs>
        <w:spacing w:before="155" w:line="211" w:lineRule="auto"/>
        <w:ind w:right="219"/>
        <w:jc w:val="both"/>
      </w:pPr>
      <w:r>
        <w:t>A statutory instrument containing regulations made by the Welsh Ministers under this section may not be made unless a draft of the instrument</w:t>
      </w:r>
      <w:r>
        <w:rPr>
          <w:spacing w:val="-15"/>
        </w:rPr>
        <w:t xml:space="preserve"> </w:t>
      </w:r>
      <w:r>
        <w:t>has</w:t>
      </w:r>
      <w:r>
        <w:rPr>
          <w:spacing w:val="-16"/>
        </w:rPr>
        <w:t xml:space="preserve"> </w:t>
      </w:r>
      <w:r>
        <w:t>been</w:t>
      </w:r>
      <w:r>
        <w:rPr>
          <w:spacing w:val="-14"/>
        </w:rPr>
        <w:t xml:space="preserve"> </w:t>
      </w:r>
      <w:r>
        <w:t>laid</w:t>
      </w:r>
      <w:r>
        <w:rPr>
          <w:spacing w:val="-18"/>
        </w:rPr>
        <w:t xml:space="preserve"> </w:t>
      </w:r>
      <w:r>
        <w:t>before</w:t>
      </w:r>
      <w:r>
        <w:rPr>
          <w:spacing w:val="-16"/>
        </w:rPr>
        <w:t xml:space="preserve"> </w:t>
      </w:r>
      <w:r>
        <w:t>and</w:t>
      </w:r>
      <w:r>
        <w:rPr>
          <w:spacing w:val="-16"/>
        </w:rPr>
        <w:t xml:space="preserve"> </w:t>
      </w:r>
      <w:r>
        <w:t>approved</w:t>
      </w:r>
      <w:r>
        <w:rPr>
          <w:spacing w:val="-16"/>
        </w:rPr>
        <w:t xml:space="preserve"> </w:t>
      </w:r>
      <w:r>
        <w:t>by</w:t>
      </w:r>
      <w:r>
        <w:rPr>
          <w:spacing w:val="-16"/>
        </w:rPr>
        <w:t xml:space="preserve"> </w:t>
      </w:r>
      <w:r>
        <w:t>a</w:t>
      </w:r>
      <w:r>
        <w:rPr>
          <w:spacing w:val="-14"/>
        </w:rPr>
        <w:t xml:space="preserve"> </w:t>
      </w:r>
      <w:r>
        <w:t>resolution</w:t>
      </w:r>
      <w:r>
        <w:rPr>
          <w:spacing w:val="-14"/>
        </w:rPr>
        <w:t xml:space="preserve"> </w:t>
      </w:r>
      <w:r>
        <w:t>of</w:t>
      </w:r>
      <w:r>
        <w:rPr>
          <w:spacing w:val="-14"/>
        </w:rPr>
        <w:t xml:space="preserve"> </w:t>
      </w:r>
      <w:r>
        <w:t>Senedd Cymru.</w:t>
      </w:r>
    </w:p>
    <w:p w14:paraId="01950C9F" w14:textId="77777777" w:rsidR="00DB5C0E" w:rsidRDefault="00DB5C0E" w:rsidP="00DB5C0E">
      <w:pPr>
        <w:pStyle w:val="ListParagraph"/>
        <w:numPr>
          <w:ilvl w:val="0"/>
          <w:numId w:val="4"/>
        </w:numPr>
        <w:tabs>
          <w:tab w:val="left" w:pos="2291"/>
        </w:tabs>
        <w:spacing w:before="133"/>
        <w:ind w:left="2290" w:hanging="500"/>
        <w:jc w:val="both"/>
      </w:pPr>
      <w:r>
        <w:t>In this section</w:t>
      </w:r>
      <w:r>
        <w:rPr>
          <w:spacing w:val="2"/>
        </w:rPr>
        <w:t xml:space="preserve"> </w:t>
      </w:r>
      <w:r>
        <w:t>–</w:t>
      </w:r>
    </w:p>
    <w:p w14:paraId="4E11D214" w14:textId="77777777" w:rsidR="00DB5C0E" w:rsidRDefault="00DB5C0E" w:rsidP="00DB5C0E">
      <w:pPr>
        <w:pStyle w:val="ListParagraph"/>
        <w:numPr>
          <w:ilvl w:val="1"/>
          <w:numId w:val="4"/>
        </w:numPr>
        <w:tabs>
          <w:tab w:val="left" w:pos="2511"/>
        </w:tabs>
        <w:spacing w:before="148" w:line="211" w:lineRule="auto"/>
        <w:ind w:left="2510" w:right="221" w:hanging="360"/>
        <w:jc w:val="both"/>
      </w:pPr>
      <w:r>
        <w:t>“responsible person” has the meaning given by Article 3 of the Regulatory Reform (Fire Safety) Order 2005 (S.I.</w:t>
      </w:r>
      <w:r>
        <w:rPr>
          <w:spacing w:val="-12"/>
        </w:rPr>
        <w:t xml:space="preserve"> </w:t>
      </w:r>
      <w:r>
        <w:t>2005/1541).</w:t>
      </w:r>
    </w:p>
    <w:p w14:paraId="1CB52A74" w14:textId="77777777" w:rsidR="00DB5C0E" w:rsidRDefault="00DB5C0E" w:rsidP="00DB5C0E">
      <w:pPr>
        <w:pStyle w:val="ListParagraph"/>
        <w:numPr>
          <w:ilvl w:val="1"/>
          <w:numId w:val="4"/>
        </w:numPr>
        <w:tabs>
          <w:tab w:val="left" w:pos="2511"/>
        </w:tabs>
        <w:spacing w:before="159" w:line="211" w:lineRule="auto"/>
        <w:ind w:left="2510" w:right="219" w:hanging="360"/>
        <w:jc w:val="both"/>
      </w:pPr>
      <w:r>
        <w:t>“FSO amount” has the meaning given by section 167 of the Commonhold and Leasehold Reform Act</w:t>
      </w:r>
      <w:r>
        <w:rPr>
          <w:spacing w:val="-8"/>
        </w:rPr>
        <w:t xml:space="preserve"> </w:t>
      </w:r>
      <w:r>
        <w:t>2002.”</w:t>
      </w:r>
    </w:p>
    <w:p w14:paraId="6D2A5345" w14:textId="77777777" w:rsidR="00DB5C0E" w:rsidRDefault="00DB5C0E" w:rsidP="00DB5C0E">
      <w:pPr>
        <w:spacing w:line="211" w:lineRule="auto"/>
        <w:jc w:val="both"/>
        <w:sectPr w:rsidR="00DB5C0E">
          <w:pgSz w:w="11900" w:h="16840"/>
          <w:pgMar w:top="1320" w:right="1320" w:bottom="280" w:left="1320" w:header="718" w:footer="0" w:gutter="0"/>
          <w:cols w:space="720"/>
        </w:sectPr>
      </w:pPr>
    </w:p>
    <w:p w14:paraId="0BC96193" w14:textId="77777777" w:rsidR="00DB5C0E" w:rsidRDefault="00DB5C0E" w:rsidP="00DB5C0E">
      <w:pPr>
        <w:pStyle w:val="BodyText"/>
        <w:tabs>
          <w:tab w:val="left" w:pos="1567"/>
        </w:tabs>
        <w:spacing w:before="109"/>
        <w:ind w:left="119" w:firstLine="0"/>
        <w:jc w:val="left"/>
      </w:pPr>
      <w:r>
        <w:rPr>
          <w:b/>
        </w:rPr>
        <w:lastRenderedPageBreak/>
        <w:t>C</w:t>
      </w:r>
      <w:r>
        <w:rPr>
          <w:b/>
        </w:rPr>
        <w:tab/>
      </w:r>
      <w:r w:rsidRPr="00525D72">
        <w:rPr>
          <w:b/>
          <w:bCs/>
        </w:rPr>
        <w:t>“Appropriate persons for Fire Safety Order Costs</w:t>
      </w:r>
    </w:p>
    <w:p w14:paraId="47B10045" w14:textId="77777777" w:rsidR="00DB5C0E" w:rsidRDefault="00DB5C0E" w:rsidP="00DB5C0E">
      <w:pPr>
        <w:pStyle w:val="ListParagraph"/>
        <w:numPr>
          <w:ilvl w:val="0"/>
          <w:numId w:val="3"/>
        </w:numPr>
        <w:tabs>
          <w:tab w:val="left" w:pos="2151"/>
        </w:tabs>
        <w:spacing w:before="156" w:line="211" w:lineRule="auto"/>
        <w:ind w:right="219"/>
        <w:jc w:val="both"/>
      </w:pPr>
      <w:r>
        <w:t>Subject</w:t>
      </w:r>
      <w:r>
        <w:rPr>
          <w:spacing w:val="-17"/>
        </w:rPr>
        <w:t xml:space="preserve"> </w:t>
      </w:r>
      <w:r>
        <w:t>to</w:t>
      </w:r>
      <w:r>
        <w:rPr>
          <w:spacing w:val="-15"/>
        </w:rPr>
        <w:t xml:space="preserve"> </w:t>
      </w:r>
      <w:r>
        <w:t>the</w:t>
      </w:r>
      <w:r>
        <w:rPr>
          <w:spacing w:val="-17"/>
        </w:rPr>
        <w:t xml:space="preserve"> </w:t>
      </w:r>
      <w:r>
        <w:t>provisions</w:t>
      </w:r>
      <w:r>
        <w:rPr>
          <w:spacing w:val="-18"/>
        </w:rPr>
        <w:t xml:space="preserve"> </w:t>
      </w:r>
      <w:r>
        <w:t>of</w:t>
      </w:r>
      <w:r>
        <w:rPr>
          <w:spacing w:val="-15"/>
        </w:rPr>
        <w:t xml:space="preserve"> </w:t>
      </w:r>
      <w:r>
        <w:t>this</w:t>
      </w:r>
      <w:r>
        <w:rPr>
          <w:spacing w:val="-15"/>
        </w:rPr>
        <w:t xml:space="preserve"> </w:t>
      </w:r>
      <w:r>
        <w:t>section,</w:t>
      </w:r>
      <w:r>
        <w:rPr>
          <w:spacing w:val="-15"/>
        </w:rPr>
        <w:t xml:space="preserve"> </w:t>
      </w:r>
      <w:r>
        <w:t>an</w:t>
      </w:r>
      <w:r>
        <w:rPr>
          <w:spacing w:val="-15"/>
        </w:rPr>
        <w:t xml:space="preserve"> </w:t>
      </w:r>
      <w:r>
        <w:t>appropriate</w:t>
      </w:r>
      <w:r>
        <w:rPr>
          <w:spacing w:val="-16"/>
        </w:rPr>
        <w:t xml:space="preserve"> </w:t>
      </w:r>
      <w:r>
        <w:t>person</w:t>
      </w:r>
      <w:r>
        <w:rPr>
          <w:spacing w:val="-15"/>
        </w:rPr>
        <w:t xml:space="preserve"> </w:t>
      </w:r>
      <w:r>
        <w:t>is</w:t>
      </w:r>
      <w:r>
        <w:rPr>
          <w:spacing w:val="-15"/>
        </w:rPr>
        <w:t xml:space="preserve"> </w:t>
      </w:r>
      <w:r>
        <w:t>anyone who built or designed, or contributed to the building or designing of, any domestic premises identified in a determination notice served under section (</w:t>
      </w:r>
      <w:r>
        <w:rPr>
          <w:i/>
        </w:rPr>
        <w:t>Duty to apply and to make a determination of appropriate persons to contribute to Fire Safety Order</w:t>
      </w:r>
      <w:r>
        <w:rPr>
          <w:i/>
          <w:spacing w:val="-8"/>
        </w:rPr>
        <w:t xml:space="preserve"> </w:t>
      </w:r>
      <w:r>
        <w:rPr>
          <w:i/>
        </w:rPr>
        <w:t>costs</w:t>
      </w:r>
      <w:r>
        <w:t>).</w:t>
      </w:r>
    </w:p>
    <w:p w14:paraId="6C6435EC" w14:textId="77777777" w:rsidR="00DB5C0E" w:rsidRDefault="00DB5C0E" w:rsidP="00DB5C0E">
      <w:pPr>
        <w:pStyle w:val="ListParagraph"/>
        <w:numPr>
          <w:ilvl w:val="0"/>
          <w:numId w:val="3"/>
        </w:numPr>
        <w:tabs>
          <w:tab w:val="left" w:pos="2151"/>
        </w:tabs>
        <w:spacing w:before="158" w:line="211" w:lineRule="auto"/>
        <w:ind w:right="220"/>
        <w:jc w:val="both"/>
      </w:pPr>
      <w:r>
        <w:t>For</w:t>
      </w:r>
      <w:r>
        <w:rPr>
          <w:spacing w:val="-7"/>
        </w:rPr>
        <w:t xml:space="preserve"> </w:t>
      </w:r>
      <w:r>
        <w:t>the</w:t>
      </w:r>
      <w:r>
        <w:rPr>
          <w:spacing w:val="-6"/>
        </w:rPr>
        <w:t xml:space="preserve"> </w:t>
      </w:r>
      <w:r>
        <w:t>purposes</w:t>
      </w:r>
      <w:r>
        <w:rPr>
          <w:spacing w:val="-6"/>
        </w:rPr>
        <w:t xml:space="preserve"> </w:t>
      </w:r>
      <w:r>
        <w:t>of</w:t>
      </w:r>
      <w:r>
        <w:rPr>
          <w:spacing w:val="-6"/>
        </w:rPr>
        <w:t xml:space="preserve"> </w:t>
      </w:r>
      <w:r>
        <w:t>subsection</w:t>
      </w:r>
      <w:r>
        <w:rPr>
          <w:spacing w:val="-6"/>
        </w:rPr>
        <w:t xml:space="preserve"> </w:t>
      </w:r>
      <w:r>
        <w:t>(1)</w:t>
      </w:r>
      <w:r>
        <w:rPr>
          <w:spacing w:val="-6"/>
        </w:rPr>
        <w:t xml:space="preserve"> </w:t>
      </w:r>
      <w:r>
        <w:t>an</w:t>
      </w:r>
      <w:r>
        <w:rPr>
          <w:spacing w:val="-4"/>
        </w:rPr>
        <w:t xml:space="preserve"> </w:t>
      </w:r>
      <w:r>
        <w:t>appropriate</w:t>
      </w:r>
      <w:r>
        <w:rPr>
          <w:spacing w:val="-6"/>
        </w:rPr>
        <w:t xml:space="preserve"> </w:t>
      </w:r>
      <w:r>
        <w:t>person</w:t>
      </w:r>
      <w:r>
        <w:rPr>
          <w:spacing w:val="-5"/>
        </w:rPr>
        <w:t xml:space="preserve"> </w:t>
      </w:r>
      <w:r>
        <w:t>may</w:t>
      </w:r>
      <w:r>
        <w:rPr>
          <w:spacing w:val="-6"/>
        </w:rPr>
        <w:t xml:space="preserve"> </w:t>
      </w:r>
      <w:r>
        <w:t>include</w:t>
      </w:r>
      <w:r>
        <w:rPr>
          <w:spacing w:val="-8"/>
        </w:rPr>
        <w:t xml:space="preserve"> </w:t>
      </w:r>
      <w:r>
        <w:t>a person who:</w:t>
      </w:r>
    </w:p>
    <w:p w14:paraId="5B759D49" w14:textId="77777777" w:rsidR="00DB5C0E" w:rsidRDefault="00DB5C0E" w:rsidP="00DB5C0E">
      <w:pPr>
        <w:pStyle w:val="ListParagraph"/>
        <w:numPr>
          <w:ilvl w:val="1"/>
          <w:numId w:val="3"/>
        </w:numPr>
        <w:tabs>
          <w:tab w:val="left" w:pos="2511"/>
        </w:tabs>
        <w:spacing w:before="157" w:line="211" w:lineRule="auto"/>
        <w:ind w:right="220"/>
      </w:pPr>
      <w:r>
        <w:t>supplied materials used in the construction of any domestic premises;</w:t>
      </w:r>
      <w:r>
        <w:rPr>
          <w:spacing w:val="-1"/>
        </w:rPr>
        <w:t xml:space="preserve"> </w:t>
      </w:r>
      <w:r>
        <w:t>or</w:t>
      </w:r>
    </w:p>
    <w:p w14:paraId="4A1FF1C7" w14:textId="77777777" w:rsidR="00DB5C0E" w:rsidRDefault="00DB5C0E" w:rsidP="00DB5C0E">
      <w:pPr>
        <w:pStyle w:val="ListParagraph"/>
        <w:numPr>
          <w:ilvl w:val="1"/>
          <w:numId w:val="3"/>
        </w:numPr>
        <w:tabs>
          <w:tab w:val="left" w:pos="2511"/>
        </w:tabs>
        <w:spacing w:before="156" w:line="211" w:lineRule="auto"/>
        <w:ind w:right="223"/>
      </w:pPr>
      <w:r>
        <w:t>acted at the direction of, or at the order of, any other appropriate person;</w:t>
      </w:r>
      <w:r>
        <w:rPr>
          <w:spacing w:val="-1"/>
        </w:rPr>
        <w:t xml:space="preserve"> </w:t>
      </w:r>
      <w:r>
        <w:t>or</w:t>
      </w:r>
    </w:p>
    <w:p w14:paraId="468B4D96" w14:textId="77777777" w:rsidR="00DB5C0E" w:rsidRDefault="00DB5C0E" w:rsidP="00DB5C0E">
      <w:pPr>
        <w:pStyle w:val="ListParagraph"/>
        <w:numPr>
          <w:ilvl w:val="1"/>
          <w:numId w:val="3"/>
        </w:numPr>
        <w:tabs>
          <w:tab w:val="left" w:pos="2511"/>
        </w:tabs>
        <w:spacing w:before="157" w:line="211" w:lineRule="auto"/>
        <w:ind w:right="218"/>
      </w:pPr>
      <w:r>
        <w:t>performed any function under the Building Act 1984 in relation to the design or construction of the domestic</w:t>
      </w:r>
      <w:r>
        <w:rPr>
          <w:spacing w:val="-1"/>
        </w:rPr>
        <w:t xml:space="preserve"> </w:t>
      </w:r>
      <w:r>
        <w:t>premises.</w:t>
      </w:r>
    </w:p>
    <w:p w14:paraId="692C5BB7" w14:textId="77777777" w:rsidR="00DB5C0E" w:rsidRDefault="00DB5C0E" w:rsidP="00DB5C0E">
      <w:pPr>
        <w:pStyle w:val="ListParagraph"/>
        <w:numPr>
          <w:ilvl w:val="0"/>
          <w:numId w:val="3"/>
        </w:numPr>
        <w:tabs>
          <w:tab w:val="left" w:pos="2151"/>
        </w:tabs>
        <w:spacing w:before="157" w:line="211" w:lineRule="auto"/>
        <w:ind w:right="219"/>
      </w:pPr>
      <w:r>
        <w:t>Where any appropriate person is a body corporate, in addition to the body corporate itself responsible persons may</w:t>
      </w:r>
      <w:r>
        <w:rPr>
          <w:spacing w:val="-9"/>
        </w:rPr>
        <w:t xml:space="preserve"> </w:t>
      </w:r>
      <w:r>
        <w:t>include:</w:t>
      </w:r>
    </w:p>
    <w:p w14:paraId="65C76EB8" w14:textId="77777777" w:rsidR="00DB5C0E" w:rsidRDefault="00DB5C0E" w:rsidP="00DB5C0E">
      <w:pPr>
        <w:pStyle w:val="ListParagraph"/>
        <w:numPr>
          <w:ilvl w:val="1"/>
          <w:numId w:val="3"/>
        </w:numPr>
        <w:tabs>
          <w:tab w:val="left" w:pos="2511"/>
        </w:tabs>
        <w:spacing w:before="134"/>
        <w:ind w:hanging="361"/>
      </w:pPr>
      <w:r>
        <w:t>any current or former director or officer of that body corporate;</w:t>
      </w:r>
      <w:r>
        <w:rPr>
          <w:spacing w:val="-20"/>
        </w:rPr>
        <w:t xml:space="preserve"> </w:t>
      </w:r>
      <w:r>
        <w:t>or</w:t>
      </w:r>
    </w:p>
    <w:p w14:paraId="2EEF709F" w14:textId="77777777" w:rsidR="00DB5C0E" w:rsidRDefault="00DB5C0E" w:rsidP="00DB5C0E">
      <w:pPr>
        <w:pStyle w:val="ListParagraph"/>
        <w:numPr>
          <w:ilvl w:val="1"/>
          <w:numId w:val="3"/>
        </w:numPr>
        <w:tabs>
          <w:tab w:val="left" w:pos="2511"/>
        </w:tabs>
        <w:ind w:hanging="361"/>
      </w:pPr>
      <w:r>
        <w:t>any associated company of that body corporate;</w:t>
      </w:r>
      <w:r>
        <w:rPr>
          <w:spacing w:val="-14"/>
        </w:rPr>
        <w:t xml:space="preserve"> </w:t>
      </w:r>
      <w:r>
        <w:t>or</w:t>
      </w:r>
    </w:p>
    <w:p w14:paraId="32C04D31" w14:textId="77777777" w:rsidR="00DB5C0E" w:rsidRDefault="00DB5C0E" w:rsidP="00DB5C0E">
      <w:pPr>
        <w:pStyle w:val="ListParagraph"/>
        <w:numPr>
          <w:ilvl w:val="1"/>
          <w:numId w:val="3"/>
        </w:numPr>
        <w:tabs>
          <w:tab w:val="left" w:pos="2511"/>
        </w:tabs>
        <w:ind w:hanging="361"/>
      </w:pPr>
      <w:r>
        <w:t>any current or former member of that body</w:t>
      </w:r>
      <w:r>
        <w:rPr>
          <w:spacing w:val="-15"/>
        </w:rPr>
        <w:t xml:space="preserve"> </w:t>
      </w:r>
      <w:r>
        <w:t>corporate.</w:t>
      </w:r>
    </w:p>
    <w:p w14:paraId="165E2AF1" w14:textId="77777777" w:rsidR="00DB5C0E" w:rsidRDefault="00DB5C0E" w:rsidP="00DB5C0E">
      <w:pPr>
        <w:pStyle w:val="ListParagraph"/>
        <w:numPr>
          <w:ilvl w:val="0"/>
          <w:numId w:val="3"/>
        </w:numPr>
        <w:tabs>
          <w:tab w:val="left" w:pos="2151"/>
        </w:tabs>
        <w:spacing w:before="150" w:line="211" w:lineRule="auto"/>
        <w:ind w:right="219"/>
        <w:jc w:val="both"/>
      </w:pPr>
      <w:r>
        <w:t>Where any appropriate person is a firm, in addition to the firm itself appropriate persons may include any current or former partner of that firm.</w:t>
      </w:r>
    </w:p>
    <w:p w14:paraId="35A226BC" w14:textId="77777777" w:rsidR="00DB5C0E" w:rsidRDefault="00DB5C0E" w:rsidP="00DB5C0E">
      <w:pPr>
        <w:pStyle w:val="ListParagraph"/>
        <w:numPr>
          <w:ilvl w:val="0"/>
          <w:numId w:val="3"/>
        </w:numPr>
        <w:tabs>
          <w:tab w:val="left" w:pos="2151"/>
        </w:tabs>
        <w:spacing w:before="156" w:line="211" w:lineRule="auto"/>
        <w:ind w:right="218"/>
        <w:jc w:val="both"/>
      </w:pPr>
      <w:r>
        <w:t>Where two or more persons are appropriate persons in relation to any domestic premises under this section, they shall be liable to bear the cost of paying that contribution in proportions determined by the relevant authority in accordance with guidance issued for the purpose by the relevant authority under section (</w:t>
      </w:r>
      <w:r>
        <w:rPr>
          <w:i/>
        </w:rPr>
        <w:t>Duty to apply and to make a determination of appropriate persons to contribute to Fire Safety</w:t>
      </w:r>
      <w:r>
        <w:rPr>
          <w:i/>
          <w:spacing w:val="-41"/>
        </w:rPr>
        <w:t xml:space="preserve"> </w:t>
      </w:r>
      <w:r>
        <w:rPr>
          <w:i/>
        </w:rPr>
        <w:t>Order costs</w:t>
      </w:r>
      <w:r>
        <w:t>).</w:t>
      </w:r>
    </w:p>
    <w:p w14:paraId="28B4C334" w14:textId="77777777" w:rsidR="00DB5C0E" w:rsidRDefault="00DB5C0E" w:rsidP="00DB5C0E">
      <w:pPr>
        <w:pStyle w:val="ListParagraph"/>
        <w:numPr>
          <w:ilvl w:val="0"/>
          <w:numId w:val="3"/>
        </w:numPr>
        <w:tabs>
          <w:tab w:val="left" w:pos="2151"/>
        </w:tabs>
        <w:spacing w:before="131"/>
        <w:ind w:right="2494" w:hanging="2151"/>
        <w:jc w:val="right"/>
      </w:pPr>
      <w:r>
        <w:t>This section shall have effect notwithstanding</w:t>
      </w:r>
      <w:r>
        <w:rPr>
          <w:spacing w:val="-16"/>
        </w:rPr>
        <w:t xml:space="preserve"> </w:t>
      </w:r>
      <w:r>
        <w:t>–</w:t>
      </w:r>
    </w:p>
    <w:p w14:paraId="39B1719D" w14:textId="77777777" w:rsidR="00DB5C0E" w:rsidRDefault="00DB5C0E" w:rsidP="00DB5C0E">
      <w:pPr>
        <w:pStyle w:val="ListParagraph"/>
        <w:numPr>
          <w:ilvl w:val="1"/>
          <w:numId w:val="3"/>
        </w:numPr>
        <w:tabs>
          <w:tab w:val="left" w:pos="360"/>
        </w:tabs>
        <w:ind w:right="2505" w:hanging="2511"/>
        <w:jc w:val="right"/>
      </w:pPr>
      <w:r>
        <w:t>any provision of the Limitation Act 1980;</w:t>
      </w:r>
      <w:r>
        <w:rPr>
          <w:spacing w:val="-15"/>
        </w:rPr>
        <w:t xml:space="preserve"> </w:t>
      </w:r>
      <w:r>
        <w:t>or</w:t>
      </w:r>
    </w:p>
    <w:p w14:paraId="67607810" w14:textId="77777777" w:rsidR="00DB5C0E" w:rsidRDefault="00DB5C0E" w:rsidP="00DB5C0E">
      <w:pPr>
        <w:pStyle w:val="ListParagraph"/>
        <w:numPr>
          <w:ilvl w:val="1"/>
          <w:numId w:val="3"/>
        </w:numPr>
        <w:tabs>
          <w:tab w:val="left" w:pos="2511"/>
        </w:tabs>
        <w:spacing w:before="150" w:line="211" w:lineRule="auto"/>
        <w:ind w:right="220"/>
      </w:pPr>
      <w:r>
        <w:t xml:space="preserve">any agreement to the contrary, </w:t>
      </w:r>
      <w:proofErr w:type="gramStart"/>
      <w:r>
        <w:t>whether or not</w:t>
      </w:r>
      <w:proofErr w:type="gramEnd"/>
      <w:r>
        <w:t xml:space="preserve"> that agreement was made before the coming into force of this section;</w:t>
      </w:r>
      <w:r>
        <w:rPr>
          <w:spacing w:val="-13"/>
        </w:rPr>
        <w:t xml:space="preserve"> </w:t>
      </w:r>
      <w:r>
        <w:t>or</w:t>
      </w:r>
    </w:p>
    <w:p w14:paraId="7AEAEA75" w14:textId="77777777" w:rsidR="00DB5C0E" w:rsidRDefault="00DB5C0E" w:rsidP="00DB5C0E">
      <w:pPr>
        <w:pStyle w:val="ListParagraph"/>
        <w:numPr>
          <w:ilvl w:val="1"/>
          <w:numId w:val="3"/>
        </w:numPr>
        <w:tabs>
          <w:tab w:val="left" w:pos="2511"/>
        </w:tabs>
        <w:spacing w:before="157" w:line="211" w:lineRule="auto"/>
        <w:ind w:right="222"/>
      </w:pPr>
      <w:r>
        <w:t xml:space="preserve">any admission to the contrary, </w:t>
      </w:r>
      <w:proofErr w:type="gramStart"/>
      <w:r>
        <w:t>whether or not</w:t>
      </w:r>
      <w:proofErr w:type="gramEnd"/>
      <w:r>
        <w:t xml:space="preserve"> that admissions was made before the coming into force of this section;</w:t>
      </w:r>
      <w:r>
        <w:rPr>
          <w:spacing w:val="-13"/>
        </w:rPr>
        <w:t xml:space="preserve"> </w:t>
      </w:r>
      <w:r>
        <w:t>or</w:t>
      </w:r>
    </w:p>
    <w:p w14:paraId="213172E2" w14:textId="77777777" w:rsidR="00DB5C0E" w:rsidRDefault="00DB5C0E" w:rsidP="00DB5C0E">
      <w:pPr>
        <w:pStyle w:val="ListParagraph"/>
        <w:numPr>
          <w:ilvl w:val="1"/>
          <w:numId w:val="3"/>
        </w:numPr>
        <w:tabs>
          <w:tab w:val="left" w:pos="2511"/>
        </w:tabs>
        <w:spacing w:before="132"/>
        <w:ind w:hanging="361"/>
      </w:pPr>
      <w:r>
        <w:t>any rule or principle of the common law or in</w:t>
      </w:r>
      <w:r>
        <w:rPr>
          <w:spacing w:val="-6"/>
        </w:rPr>
        <w:t xml:space="preserve"> </w:t>
      </w:r>
      <w:r>
        <w:t>equity.</w:t>
      </w:r>
    </w:p>
    <w:p w14:paraId="0110FCA1" w14:textId="77777777" w:rsidR="00DB5C0E" w:rsidRDefault="00DB5C0E" w:rsidP="00DB5C0E">
      <w:pPr>
        <w:pStyle w:val="ListParagraph"/>
        <w:numPr>
          <w:ilvl w:val="0"/>
          <w:numId w:val="3"/>
        </w:numPr>
        <w:tabs>
          <w:tab w:val="left" w:pos="2151"/>
        </w:tabs>
        <w:spacing w:before="124"/>
      </w:pPr>
      <w:r>
        <w:t>In this section</w:t>
      </w:r>
      <w:r>
        <w:rPr>
          <w:spacing w:val="2"/>
        </w:rPr>
        <w:t xml:space="preserve"> </w:t>
      </w:r>
      <w:r>
        <w:t>–</w:t>
      </w:r>
    </w:p>
    <w:p w14:paraId="03B86CA2" w14:textId="77777777" w:rsidR="00DB5C0E" w:rsidRDefault="00DB5C0E" w:rsidP="00DB5C0E">
      <w:pPr>
        <w:pStyle w:val="BodyText"/>
        <w:spacing w:before="150" w:line="211" w:lineRule="auto"/>
        <w:ind w:right="219" w:firstLine="0"/>
      </w:pPr>
      <w:r>
        <w:t>“associated company” has the meaning given by section 256 of the Companies Act</w:t>
      </w:r>
      <w:r>
        <w:rPr>
          <w:spacing w:val="-5"/>
        </w:rPr>
        <w:t xml:space="preserve"> </w:t>
      </w:r>
      <w:r>
        <w:t>2006.</w:t>
      </w:r>
    </w:p>
    <w:p w14:paraId="552C228C" w14:textId="77777777" w:rsidR="00DB5C0E" w:rsidRDefault="00DB5C0E" w:rsidP="00DB5C0E">
      <w:pPr>
        <w:pStyle w:val="BodyText"/>
        <w:spacing w:before="157" w:line="211" w:lineRule="auto"/>
        <w:ind w:right="223" w:firstLine="0"/>
      </w:pPr>
      <w:r>
        <w:t>“body corporate” has the meaning given by section 1173 of the Companies Act</w:t>
      </w:r>
      <w:r>
        <w:rPr>
          <w:spacing w:val="-5"/>
        </w:rPr>
        <w:t xml:space="preserve"> </w:t>
      </w:r>
      <w:r>
        <w:t>2006.</w:t>
      </w:r>
    </w:p>
    <w:p w14:paraId="193633D4" w14:textId="77777777" w:rsidR="00DB5C0E" w:rsidRDefault="00DB5C0E" w:rsidP="00DB5C0E">
      <w:pPr>
        <w:pStyle w:val="BodyText"/>
        <w:spacing w:before="157" w:line="211" w:lineRule="auto"/>
        <w:ind w:right="220" w:firstLine="0"/>
      </w:pPr>
      <w:r>
        <w:t>“director” has the meaning given by section 250 of the Companies Act 2006 and includes a “shadow director” within the meaning of section 251 of the Companies Act 2006.</w:t>
      </w:r>
    </w:p>
    <w:p w14:paraId="4F6F13DF" w14:textId="77777777" w:rsidR="00DB5C0E" w:rsidRDefault="00DB5C0E" w:rsidP="00DB5C0E">
      <w:pPr>
        <w:spacing w:line="211" w:lineRule="auto"/>
        <w:sectPr w:rsidR="00DB5C0E">
          <w:pgSz w:w="11900" w:h="16840"/>
          <w:pgMar w:top="1320" w:right="1320" w:bottom="280" w:left="1320" w:header="718" w:footer="0" w:gutter="0"/>
          <w:cols w:space="720"/>
        </w:sectPr>
      </w:pPr>
    </w:p>
    <w:p w14:paraId="735A3344" w14:textId="77777777" w:rsidR="00DB5C0E" w:rsidRDefault="00DB5C0E" w:rsidP="00DB5C0E">
      <w:pPr>
        <w:pStyle w:val="BodyText"/>
        <w:spacing w:before="108" w:line="211" w:lineRule="auto"/>
        <w:ind w:right="768" w:firstLine="0"/>
        <w:jc w:val="left"/>
      </w:pPr>
      <w:r>
        <w:lastRenderedPageBreak/>
        <w:t>“domestic premises” has the meaning given by Article 2 of the Regulatory Reform (Fire Safety) Order 2005 (S.I. 2005/1541)</w:t>
      </w:r>
    </w:p>
    <w:p w14:paraId="666DAF10" w14:textId="77777777" w:rsidR="00DB5C0E" w:rsidRDefault="00DB5C0E" w:rsidP="00DB5C0E">
      <w:pPr>
        <w:pStyle w:val="BodyText"/>
        <w:spacing w:before="156" w:line="211" w:lineRule="auto"/>
        <w:ind w:right="207" w:firstLine="0"/>
        <w:jc w:val="left"/>
      </w:pPr>
      <w:r>
        <w:t>“firm” has the meaning given by section 1173 of the Companies Act 2006.</w:t>
      </w:r>
    </w:p>
    <w:p w14:paraId="18E1E04B" w14:textId="77777777" w:rsidR="00DB5C0E" w:rsidRDefault="00DB5C0E" w:rsidP="00DB5C0E">
      <w:pPr>
        <w:pStyle w:val="BodyText"/>
        <w:spacing w:before="157" w:line="211" w:lineRule="auto"/>
        <w:ind w:firstLine="0"/>
        <w:jc w:val="left"/>
      </w:pPr>
      <w:r>
        <w:t>“member” has the meaning given by section 112 of the Companies Act 2006.”</w:t>
      </w:r>
    </w:p>
    <w:p w14:paraId="2C664ACE" w14:textId="77777777" w:rsidR="00DB5C0E" w:rsidRDefault="00DB5C0E" w:rsidP="00DB5C0E">
      <w:pPr>
        <w:pStyle w:val="BodyText"/>
        <w:spacing w:before="12"/>
        <w:ind w:left="0" w:firstLine="0"/>
        <w:jc w:val="left"/>
        <w:rPr>
          <w:sz w:val="33"/>
        </w:rPr>
      </w:pPr>
    </w:p>
    <w:p w14:paraId="6B508518" w14:textId="77777777" w:rsidR="00DB5C0E" w:rsidRDefault="00DB5C0E" w:rsidP="00DB5C0E">
      <w:pPr>
        <w:pStyle w:val="BodyText"/>
        <w:tabs>
          <w:tab w:val="left" w:pos="1567"/>
        </w:tabs>
        <w:spacing w:before="0"/>
        <w:ind w:left="248" w:firstLine="0"/>
        <w:jc w:val="left"/>
      </w:pPr>
      <w:r>
        <w:rPr>
          <w:b/>
        </w:rPr>
        <w:t>D</w:t>
      </w:r>
      <w:r>
        <w:rPr>
          <w:b/>
        </w:rPr>
        <w:tab/>
      </w:r>
      <w:r>
        <w:rPr>
          <w:b/>
        </w:rPr>
        <w:tab/>
      </w:r>
      <w:r w:rsidRPr="00525D72">
        <w:rPr>
          <w:b/>
          <w:bCs/>
        </w:rPr>
        <w:t>“Expiry</w:t>
      </w:r>
    </w:p>
    <w:p w14:paraId="0B0ED5C5" w14:textId="77777777" w:rsidR="00DB5C0E" w:rsidRDefault="00DB5C0E" w:rsidP="00DB5C0E">
      <w:pPr>
        <w:pStyle w:val="ListParagraph"/>
        <w:numPr>
          <w:ilvl w:val="0"/>
          <w:numId w:val="2"/>
        </w:numPr>
        <w:tabs>
          <w:tab w:val="left" w:pos="2151"/>
        </w:tabs>
        <w:spacing w:before="156" w:line="211" w:lineRule="auto"/>
        <w:ind w:right="219"/>
        <w:jc w:val="both"/>
      </w:pPr>
      <w:r>
        <w:t>Sections</w:t>
      </w:r>
      <w:r>
        <w:rPr>
          <w:spacing w:val="-10"/>
        </w:rPr>
        <w:t xml:space="preserve"> </w:t>
      </w:r>
      <w:r>
        <w:t>(</w:t>
      </w:r>
      <w:r>
        <w:rPr>
          <w:i/>
        </w:rPr>
        <w:t>Restriction</w:t>
      </w:r>
      <w:r>
        <w:rPr>
          <w:i/>
          <w:spacing w:val="-7"/>
        </w:rPr>
        <w:t xml:space="preserve"> </w:t>
      </w:r>
      <w:r>
        <w:rPr>
          <w:i/>
        </w:rPr>
        <w:t>on</w:t>
      </w:r>
      <w:r>
        <w:rPr>
          <w:i/>
          <w:spacing w:val="-9"/>
        </w:rPr>
        <w:t xml:space="preserve"> </w:t>
      </w:r>
      <w:r>
        <w:rPr>
          <w:i/>
        </w:rPr>
        <w:t>forfeiture</w:t>
      </w:r>
      <w:r>
        <w:rPr>
          <w:i/>
          <w:spacing w:val="-6"/>
        </w:rPr>
        <w:t xml:space="preserve"> </w:t>
      </w:r>
      <w:r>
        <w:rPr>
          <w:i/>
        </w:rPr>
        <w:t>of</w:t>
      </w:r>
      <w:r>
        <w:rPr>
          <w:i/>
          <w:spacing w:val="-7"/>
        </w:rPr>
        <w:t xml:space="preserve"> </w:t>
      </w:r>
      <w:r>
        <w:rPr>
          <w:i/>
        </w:rPr>
        <w:t>leases</w:t>
      </w:r>
      <w:r>
        <w:rPr>
          <w:i/>
          <w:spacing w:val="-9"/>
        </w:rPr>
        <w:t xml:space="preserve"> </w:t>
      </w:r>
      <w:r>
        <w:rPr>
          <w:i/>
        </w:rPr>
        <w:t>of</w:t>
      </w:r>
      <w:r>
        <w:rPr>
          <w:i/>
          <w:spacing w:val="-8"/>
        </w:rPr>
        <w:t xml:space="preserve"> </w:t>
      </w:r>
      <w:r>
        <w:rPr>
          <w:i/>
        </w:rPr>
        <w:t>dwellings</w:t>
      </w:r>
      <w:r>
        <w:rPr>
          <w:i/>
          <w:spacing w:val="-6"/>
        </w:rPr>
        <w:t xml:space="preserve"> </w:t>
      </w:r>
      <w:r>
        <w:rPr>
          <w:i/>
        </w:rPr>
        <w:t>for</w:t>
      </w:r>
      <w:r>
        <w:rPr>
          <w:i/>
          <w:spacing w:val="-6"/>
        </w:rPr>
        <w:t xml:space="preserve"> </w:t>
      </w:r>
      <w:r>
        <w:rPr>
          <w:i/>
        </w:rPr>
        <w:t>unpaid</w:t>
      </w:r>
      <w:r>
        <w:rPr>
          <w:i/>
          <w:spacing w:val="-9"/>
        </w:rPr>
        <w:t xml:space="preserve"> </w:t>
      </w:r>
      <w:r>
        <w:rPr>
          <w:i/>
        </w:rPr>
        <w:t>Fire</w:t>
      </w:r>
      <w:r>
        <w:rPr>
          <w:i/>
          <w:spacing w:val="-8"/>
        </w:rPr>
        <w:t xml:space="preserve"> </w:t>
      </w:r>
      <w:r>
        <w:rPr>
          <w:i/>
        </w:rPr>
        <w:t>Safety Order costs</w:t>
      </w:r>
      <w:r>
        <w:t>) (</w:t>
      </w:r>
      <w:r>
        <w:rPr>
          <w:i/>
        </w:rPr>
        <w:t>Duty to apply and to make a determination of appropriate persons</w:t>
      </w:r>
      <w:r>
        <w:rPr>
          <w:i/>
          <w:spacing w:val="-7"/>
        </w:rPr>
        <w:t xml:space="preserve"> </w:t>
      </w:r>
      <w:r>
        <w:rPr>
          <w:i/>
        </w:rPr>
        <w:t>to</w:t>
      </w:r>
      <w:r>
        <w:rPr>
          <w:i/>
          <w:spacing w:val="-11"/>
        </w:rPr>
        <w:t xml:space="preserve"> </w:t>
      </w:r>
      <w:r>
        <w:rPr>
          <w:i/>
        </w:rPr>
        <w:t>contribute</w:t>
      </w:r>
      <w:r>
        <w:rPr>
          <w:i/>
          <w:spacing w:val="-8"/>
        </w:rPr>
        <w:t xml:space="preserve"> </w:t>
      </w:r>
      <w:r>
        <w:rPr>
          <w:i/>
        </w:rPr>
        <w:t>to</w:t>
      </w:r>
      <w:r>
        <w:rPr>
          <w:i/>
          <w:spacing w:val="-7"/>
        </w:rPr>
        <w:t xml:space="preserve"> </w:t>
      </w:r>
      <w:r>
        <w:rPr>
          <w:i/>
        </w:rPr>
        <w:t>Fire</w:t>
      </w:r>
      <w:r>
        <w:rPr>
          <w:i/>
          <w:spacing w:val="-6"/>
        </w:rPr>
        <w:t xml:space="preserve"> </w:t>
      </w:r>
      <w:r>
        <w:rPr>
          <w:i/>
        </w:rPr>
        <w:t>Safety</w:t>
      </w:r>
      <w:r>
        <w:rPr>
          <w:i/>
          <w:spacing w:val="-9"/>
        </w:rPr>
        <w:t xml:space="preserve"> </w:t>
      </w:r>
      <w:r>
        <w:rPr>
          <w:i/>
        </w:rPr>
        <w:t>Order</w:t>
      </w:r>
      <w:r>
        <w:rPr>
          <w:i/>
          <w:spacing w:val="-8"/>
        </w:rPr>
        <w:t xml:space="preserve"> </w:t>
      </w:r>
      <w:r>
        <w:rPr>
          <w:i/>
        </w:rPr>
        <w:t>costs</w:t>
      </w:r>
      <w:r>
        <w:t>)</w:t>
      </w:r>
      <w:r>
        <w:rPr>
          <w:spacing w:val="-5"/>
        </w:rPr>
        <w:t xml:space="preserve"> </w:t>
      </w:r>
      <w:r>
        <w:t>and</w:t>
      </w:r>
      <w:r>
        <w:rPr>
          <w:spacing w:val="-8"/>
        </w:rPr>
        <w:t xml:space="preserve"> </w:t>
      </w:r>
      <w:r>
        <w:t>(</w:t>
      </w:r>
      <w:r>
        <w:rPr>
          <w:i/>
        </w:rPr>
        <w:t>Appropriate</w:t>
      </w:r>
      <w:r>
        <w:rPr>
          <w:i/>
          <w:spacing w:val="-7"/>
        </w:rPr>
        <w:t xml:space="preserve"> </w:t>
      </w:r>
      <w:r>
        <w:rPr>
          <w:i/>
        </w:rPr>
        <w:t>Persons</w:t>
      </w:r>
      <w:r>
        <w:rPr>
          <w:i/>
          <w:spacing w:val="-7"/>
        </w:rPr>
        <w:t xml:space="preserve"> </w:t>
      </w:r>
      <w:r>
        <w:rPr>
          <w:i/>
        </w:rPr>
        <w:t>for Fire Safety Order Costs</w:t>
      </w:r>
      <w:r>
        <w:t>) expire at the end of the period of 5 years beginning</w:t>
      </w:r>
      <w:r>
        <w:rPr>
          <w:spacing w:val="-10"/>
        </w:rPr>
        <w:t xml:space="preserve"> </w:t>
      </w:r>
      <w:r>
        <w:t>on</w:t>
      </w:r>
      <w:r>
        <w:rPr>
          <w:spacing w:val="-10"/>
        </w:rPr>
        <w:t xml:space="preserve"> </w:t>
      </w:r>
      <w:r>
        <w:t>the</w:t>
      </w:r>
      <w:r>
        <w:rPr>
          <w:spacing w:val="-12"/>
        </w:rPr>
        <w:t xml:space="preserve"> </w:t>
      </w:r>
      <w:r>
        <w:t>date</w:t>
      </w:r>
      <w:r>
        <w:rPr>
          <w:spacing w:val="-10"/>
        </w:rPr>
        <w:t xml:space="preserve"> </w:t>
      </w:r>
      <w:r>
        <w:t>this</w:t>
      </w:r>
      <w:r>
        <w:rPr>
          <w:spacing w:val="-12"/>
        </w:rPr>
        <w:t xml:space="preserve"> </w:t>
      </w:r>
      <w:r>
        <w:t>Act</w:t>
      </w:r>
      <w:r>
        <w:rPr>
          <w:spacing w:val="-11"/>
        </w:rPr>
        <w:t xml:space="preserve"> </w:t>
      </w:r>
      <w:r>
        <w:t>is</w:t>
      </w:r>
      <w:r>
        <w:rPr>
          <w:spacing w:val="-11"/>
        </w:rPr>
        <w:t xml:space="preserve"> </w:t>
      </w:r>
      <w:r>
        <w:t>passed,</w:t>
      </w:r>
      <w:r>
        <w:rPr>
          <w:spacing w:val="-12"/>
        </w:rPr>
        <w:t xml:space="preserve"> </w:t>
      </w:r>
      <w:r>
        <w:t>subject</w:t>
      </w:r>
      <w:r>
        <w:rPr>
          <w:spacing w:val="-12"/>
        </w:rPr>
        <w:t xml:space="preserve"> </w:t>
      </w:r>
      <w:r>
        <w:t>to</w:t>
      </w:r>
      <w:r>
        <w:rPr>
          <w:spacing w:val="-12"/>
        </w:rPr>
        <w:t xml:space="preserve"> </w:t>
      </w:r>
      <w:r>
        <w:t>section</w:t>
      </w:r>
      <w:r>
        <w:rPr>
          <w:spacing w:val="-8"/>
        </w:rPr>
        <w:t xml:space="preserve"> </w:t>
      </w:r>
      <w:r>
        <w:t>(</w:t>
      </w:r>
      <w:r>
        <w:rPr>
          <w:i/>
        </w:rPr>
        <w:t>Power</w:t>
      </w:r>
      <w:r>
        <w:rPr>
          <w:i/>
          <w:spacing w:val="-12"/>
        </w:rPr>
        <w:t xml:space="preserve"> </w:t>
      </w:r>
      <w:r>
        <w:rPr>
          <w:i/>
        </w:rPr>
        <w:t>to</w:t>
      </w:r>
      <w:r>
        <w:rPr>
          <w:i/>
          <w:spacing w:val="-13"/>
        </w:rPr>
        <w:t xml:space="preserve"> </w:t>
      </w:r>
      <w:r>
        <w:rPr>
          <w:i/>
        </w:rPr>
        <w:t>alter expiry date</w:t>
      </w:r>
      <w:r>
        <w:t>).</w:t>
      </w:r>
    </w:p>
    <w:p w14:paraId="532B9758" w14:textId="77777777" w:rsidR="00DB5C0E" w:rsidRDefault="00DB5C0E" w:rsidP="00DB5C0E">
      <w:pPr>
        <w:pStyle w:val="ListParagraph"/>
        <w:numPr>
          <w:ilvl w:val="0"/>
          <w:numId w:val="2"/>
        </w:numPr>
        <w:tabs>
          <w:tab w:val="left" w:pos="2151"/>
        </w:tabs>
        <w:spacing w:before="154" w:line="211" w:lineRule="auto"/>
        <w:ind w:right="220"/>
        <w:jc w:val="both"/>
      </w:pPr>
      <w:r>
        <w:t>A relevant authority may by regulations make transitional, transitory or</w:t>
      </w:r>
      <w:r>
        <w:rPr>
          <w:spacing w:val="-13"/>
        </w:rPr>
        <w:t xml:space="preserve"> </w:t>
      </w:r>
      <w:r>
        <w:t>saving</w:t>
      </w:r>
      <w:r>
        <w:rPr>
          <w:spacing w:val="-11"/>
        </w:rPr>
        <w:t xml:space="preserve"> </w:t>
      </w:r>
      <w:r>
        <w:t>provision</w:t>
      </w:r>
      <w:r>
        <w:rPr>
          <w:spacing w:val="-9"/>
        </w:rPr>
        <w:t xml:space="preserve"> </w:t>
      </w:r>
      <w:r>
        <w:t>in</w:t>
      </w:r>
      <w:r>
        <w:rPr>
          <w:spacing w:val="-11"/>
        </w:rPr>
        <w:t xml:space="preserve"> </w:t>
      </w:r>
      <w:r>
        <w:t>connection</w:t>
      </w:r>
      <w:r>
        <w:rPr>
          <w:spacing w:val="-12"/>
        </w:rPr>
        <w:t xml:space="preserve"> </w:t>
      </w:r>
      <w:r>
        <w:t>with</w:t>
      </w:r>
      <w:r>
        <w:rPr>
          <w:spacing w:val="-11"/>
        </w:rPr>
        <w:t xml:space="preserve"> </w:t>
      </w:r>
      <w:r>
        <w:t>the</w:t>
      </w:r>
      <w:r>
        <w:rPr>
          <w:spacing w:val="-16"/>
        </w:rPr>
        <w:t xml:space="preserve"> </w:t>
      </w:r>
      <w:r>
        <w:t>expiry</w:t>
      </w:r>
      <w:r>
        <w:rPr>
          <w:spacing w:val="-15"/>
        </w:rPr>
        <w:t xml:space="preserve"> </w:t>
      </w:r>
      <w:r>
        <w:t>of</w:t>
      </w:r>
      <w:r>
        <w:rPr>
          <w:spacing w:val="-10"/>
        </w:rPr>
        <w:t xml:space="preserve"> </w:t>
      </w:r>
      <w:r>
        <w:t>sections</w:t>
      </w:r>
      <w:r>
        <w:rPr>
          <w:spacing w:val="-16"/>
        </w:rPr>
        <w:t xml:space="preserve"> </w:t>
      </w:r>
      <w:r>
        <w:t>(</w:t>
      </w:r>
      <w:r>
        <w:rPr>
          <w:i/>
        </w:rPr>
        <w:t>Restriction on forfeiture of leases of dwellings for unpaid Fire Safety Order costs</w:t>
      </w:r>
      <w:r>
        <w:t>) and (</w:t>
      </w:r>
      <w:r>
        <w:rPr>
          <w:i/>
        </w:rPr>
        <w:t>Duty to apply and to make a determination of appropriate persons to contribute to Fire Safety Order</w:t>
      </w:r>
      <w:r>
        <w:rPr>
          <w:i/>
          <w:spacing w:val="-11"/>
        </w:rPr>
        <w:t xml:space="preserve"> </w:t>
      </w:r>
      <w:r>
        <w:rPr>
          <w:i/>
        </w:rPr>
        <w:t>costs</w:t>
      </w:r>
      <w:r>
        <w:t>).</w:t>
      </w:r>
    </w:p>
    <w:p w14:paraId="4A59EE53" w14:textId="77777777" w:rsidR="00DB5C0E" w:rsidRDefault="00DB5C0E" w:rsidP="00DB5C0E">
      <w:pPr>
        <w:pStyle w:val="ListParagraph"/>
        <w:numPr>
          <w:ilvl w:val="0"/>
          <w:numId w:val="2"/>
        </w:numPr>
        <w:tabs>
          <w:tab w:val="left" w:pos="2151"/>
        </w:tabs>
        <w:spacing w:before="158" w:line="211" w:lineRule="auto"/>
        <w:ind w:right="219"/>
        <w:jc w:val="both"/>
      </w:pPr>
      <w:r>
        <w:t>Any</w:t>
      </w:r>
      <w:r>
        <w:rPr>
          <w:spacing w:val="-10"/>
        </w:rPr>
        <w:t xml:space="preserve"> </w:t>
      </w:r>
      <w:r>
        <w:t>regulations</w:t>
      </w:r>
      <w:r>
        <w:rPr>
          <w:spacing w:val="-9"/>
        </w:rPr>
        <w:t xml:space="preserve"> </w:t>
      </w:r>
      <w:r>
        <w:t>made</w:t>
      </w:r>
      <w:r>
        <w:rPr>
          <w:spacing w:val="-10"/>
        </w:rPr>
        <w:t xml:space="preserve"> </w:t>
      </w:r>
      <w:r>
        <w:t>under</w:t>
      </w:r>
      <w:r>
        <w:rPr>
          <w:spacing w:val="-7"/>
        </w:rPr>
        <w:t xml:space="preserve"> </w:t>
      </w:r>
      <w:r>
        <w:t>this</w:t>
      </w:r>
      <w:r>
        <w:rPr>
          <w:spacing w:val="-9"/>
        </w:rPr>
        <w:t xml:space="preserve"> </w:t>
      </w:r>
      <w:r>
        <w:t>section</w:t>
      </w:r>
      <w:r>
        <w:rPr>
          <w:spacing w:val="-8"/>
        </w:rPr>
        <w:t xml:space="preserve"> </w:t>
      </w:r>
      <w:r>
        <w:t>or</w:t>
      </w:r>
      <w:r>
        <w:rPr>
          <w:spacing w:val="-7"/>
        </w:rPr>
        <w:t xml:space="preserve"> </w:t>
      </w:r>
      <w:r>
        <w:t>section</w:t>
      </w:r>
      <w:r>
        <w:rPr>
          <w:spacing w:val="-6"/>
        </w:rPr>
        <w:t xml:space="preserve"> </w:t>
      </w:r>
      <w:r>
        <w:t>(</w:t>
      </w:r>
      <w:r>
        <w:rPr>
          <w:i/>
        </w:rPr>
        <w:t>Power</w:t>
      </w:r>
      <w:r>
        <w:rPr>
          <w:i/>
          <w:spacing w:val="-9"/>
        </w:rPr>
        <w:t xml:space="preserve"> </w:t>
      </w:r>
      <w:r>
        <w:rPr>
          <w:i/>
        </w:rPr>
        <w:t>to</w:t>
      </w:r>
      <w:r>
        <w:rPr>
          <w:i/>
          <w:spacing w:val="-9"/>
        </w:rPr>
        <w:t xml:space="preserve"> </w:t>
      </w:r>
      <w:r>
        <w:rPr>
          <w:i/>
        </w:rPr>
        <w:t>alter</w:t>
      </w:r>
      <w:r>
        <w:rPr>
          <w:i/>
          <w:spacing w:val="-8"/>
        </w:rPr>
        <w:t xml:space="preserve"> </w:t>
      </w:r>
      <w:r>
        <w:rPr>
          <w:i/>
        </w:rPr>
        <w:t>expiry date</w:t>
      </w:r>
      <w:r>
        <w:t>) must include provisions preventing the landlord from recovering legal costs or administrative expenses incurred in contemplation of the expiry of section (</w:t>
      </w:r>
      <w:r>
        <w:rPr>
          <w:i/>
        </w:rPr>
        <w:t>Restriction on forfeiture of leases of dwellings for unpaid Fire Safety Costs</w:t>
      </w:r>
      <w:r>
        <w:t>), notwithstanding any term of any relevant long lease or any provision of section 146 of the Law of Property Act</w:t>
      </w:r>
      <w:r>
        <w:rPr>
          <w:spacing w:val="-9"/>
        </w:rPr>
        <w:t xml:space="preserve"> </w:t>
      </w:r>
      <w:r>
        <w:t>1925.</w:t>
      </w:r>
    </w:p>
    <w:p w14:paraId="7718BA72" w14:textId="77777777" w:rsidR="00DB5C0E" w:rsidRDefault="00DB5C0E" w:rsidP="00DB5C0E">
      <w:pPr>
        <w:pStyle w:val="ListParagraph"/>
        <w:numPr>
          <w:ilvl w:val="0"/>
          <w:numId w:val="2"/>
        </w:numPr>
        <w:tabs>
          <w:tab w:val="left" w:pos="2151"/>
        </w:tabs>
        <w:spacing w:before="156" w:line="211" w:lineRule="auto"/>
        <w:ind w:right="219"/>
        <w:jc w:val="both"/>
      </w:pPr>
      <w:r>
        <w:t>Before making regulations under subsection (2) the relevant authority must consult anyone that appears to the relevant authority to be appropriate.</w:t>
      </w:r>
    </w:p>
    <w:p w14:paraId="0AB58E85" w14:textId="77777777" w:rsidR="00DB5C0E" w:rsidRDefault="00DB5C0E" w:rsidP="00DB5C0E">
      <w:pPr>
        <w:pStyle w:val="ListParagraph"/>
        <w:numPr>
          <w:ilvl w:val="0"/>
          <w:numId w:val="2"/>
        </w:numPr>
        <w:tabs>
          <w:tab w:val="left" w:pos="2151"/>
        </w:tabs>
        <w:spacing w:before="131"/>
        <w:jc w:val="both"/>
      </w:pPr>
      <w:r>
        <w:t>The “relevant</w:t>
      </w:r>
      <w:r>
        <w:rPr>
          <w:spacing w:val="-1"/>
        </w:rPr>
        <w:t xml:space="preserve"> </w:t>
      </w:r>
      <w:r>
        <w:t>authority”—</w:t>
      </w:r>
    </w:p>
    <w:p w14:paraId="72293564" w14:textId="77777777" w:rsidR="00DB5C0E" w:rsidRDefault="00DB5C0E" w:rsidP="00DB5C0E">
      <w:pPr>
        <w:pStyle w:val="ListParagraph"/>
        <w:numPr>
          <w:ilvl w:val="1"/>
          <w:numId w:val="2"/>
        </w:numPr>
        <w:tabs>
          <w:tab w:val="left" w:pos="2463"/>
        </w:tabs>
        <w:ind w:hanging="313"/>
        <w:jc w:val="both"/>
      </w:pPr>
      <w:r>
        <w:t>in relation to premises in England, means the Secretary of</w:t>
      </w:r>
      <w:r>
        <w:rPr>
          <w:spacing w:val="-12"/>
        </w:rPr>
        <w:t xml:space="preserve"> </w:t>
      </w:r>
      <w:proofErr w:type="gramStart"/>
      <w:r>
        <w:t>State;</w:t>
      </w:r>
      <w:proofErr w:type="gramEnd"/>
    </w:p>
    <w:p w14:paraId="31F23C8F" w14:textId="77777777" w:rsidR="00DB5C0E" w:rsidRDefault="00DB5C0E" w:rsidP="00DB5C0E">
      <w:pPr>
        <w:pStyle w:val="ListParagraph"/>
        <w:numPr>
          <w:ilvl w:val="1"/>
          <w:numId w:val="2"/>
        </w:numPr>
        <w:tabs>
          <w:tab w:val="left" w:pos="2474"/>
        </w:tabs>
        <w:spacing w:before="124"/>
        <w:ind w:left="2473" w:hanging="324"/>
        <w:jc w:val="both"/>
      </w:pPr>
      <w:r>
        <w:t>in relation to premises in Wales, means the Welsh</w:t>
      </w:r>
      <w:r>
        <w:rPr>
          <w:spacing w:val="-13"/>
        </w:rPr>
        <w:t xml:space="preserve"> </w:t>
      </w:r>
      <w:r>
        <w:t>Ministers.</w:t>
      </w:r>
    </w:p>
    <w:p w14:paraId="3509FDE9" w14:textId="77777777" w:rsidR="00DB5C0E" w:rsidRDefault="00DB5C0E" w:rsidP="00DB5C0E">
      <w:pPr>
        <w:pStyle w:val="ListParagraph"/>
        <w:numPr>
          <w:ilvl w:val="0"/>
          <w:numId w:val="2"/>
        </w:numPr>
        <w:tabs>
          <w:tab w:val="left" w:pos="2151"/>
        </w:tabs>
        <w:spacing w:before="151" w:line="211" w:lineRule="auto"/>
        <w:ind w:right="219"/>
        <w:jc w:val="both"/>
      </w:pPr>
      <w:r>
        <w:t>A</w:t>
      </w:r>
      <w:r>
        <w:rPr>
          <w:spacing w:val="-9"/>
        </w:rPr>
        <w:t xml:space="preserve"> </w:t>
      </w:r>
      <w:r>
        <w:t>statutory</w:t>
      </w:r>
      <w:r>
        <w:rPr>
          <w:spacing w:val="-8"/>
        </w:rPr>
        <w:t xml:space="preserve"> </w:t>
      </w:r>
      <w:r>
        <w:t>instrument</w:t>
      </w:r>
      <w:r>
        <w:rPr>
          <w:spacing w:val="-8"/>
        </w:rPr>
        <w:t xml:space="preserve"> </w:t>
      </w:r>
      <w:r>
        <w:t>containing</w:t>
      </w:r>
      <w:r>
        <w:rPr>
          <w:spacing w:val="-9"/>
        </w:rPr>
        <w:t xml:space="preserve"> </w:t>
      </w:r>
      <w:r>
        <w:t>regulations</w:t>
      </w:r>
      <w:r>
        <w:rPr>
          <w:spacing w:val="-10"/>
        </w:rPr>
        <w:t xml:space="preserve"> </w:t>
      </w:r>
      <w:r>
        <w:t>made</w:t>
      </w:r>
      <w:r>
        <w:rPr>
          <w:spacing w:val="-10"/>
        </w:rPr>
        <w:t xml:space="preserve"> </w:t>
      </w:r>
      <w:r>
        <w:t>by</w:t>
      </w:r>
      <w:r>
        <w:rPr>
          <w:spacing w:val="-9"/>
        </w:rPr>
        <w:t xml:space="preserve"> </w:t>
      </w:r>
      <w:r>
        <w:t>the</w:t>
      </w:r>
      <w:r>
        <w:rPr>
          <w:spacing w:val="-10"/>
        </w:rPr>
        <w:t xml:space="preserve"> </w:t>
      </w:r>
      <w:r>
        <w:t>Secretary</w:t>
      </w:r>
      <w:r>
        <w:rPr>
          <w:spacing w:val="-8"/>
        </w:rPr>
        <w:t xml:space="preserve"> </w:t>
      </w:r>
      <w:r>
        <w:t>of State under subsection (2) may not be made unless a draft of the instrument has been laid before and approved by a resolution of each House of</w:t>
      </w:r>
      <w:r>
        <w:rPr>
          <w:spacing w:val="-4"/>
        </w:rPr>
        <w:t xml:space="preserve"> </w:t>
      </w:r>
      <w:r>
        <w:t>Parliament.</w:t>
      </w:r>
    </w:p>
    <w:p w14:paraId="5B5EA3D1" w14:textId="77777777" w:rsidR="00DB5C0E" w:rsidRDefault="00DB5C0E" w:rsidP="00DB5C0E">
      <w:pPr>
        <w:pStyle w:val="ListParagraph"/>
        <w:numPr>
          <w:ilvl w:val="0"/>
          <w:numId w:val="2"/>
        </w:numPr>
        <w:tabs>
          <w:tab w:val="left" w:pos="2151"/>
        </w:tabs>
        <w:spacing w:before="155" w:line="211" w:lineRule="auto"/>
        <w:ind w:right="220"/>
        <w:jc w:val="both"/>
      </w:pPr>
      <w:r>
        <w:t>A statutory instrument containing regulations made by the Welsh Ministers under subsection (2) may not be made unless a draft of the instrument</w:t>
      </w:r>
      <w:r>
        <w:rPr>
          <w:spacing w:val="-15"/>
        </w:rPr>
        <w:t xml:space="preserve"> </w:t>
      </w:r>
      <w:r>
        <w:t>has</w:t>
      </w:r>
      <w:r>
        <w:rPr>
          <w:spacing w:val="-16"/>
        </w:rPr>
        <w:t xml:space="preserve"> </w:t>
      </w:r>
      <w:r>
        <w:t>been</w:t>
      </w:r>
      <w:r>
        <w:rPr>
          <w:spacing w:val="-14"/>
        </w:rPr>
        <w:t xml:space="preserve"> </w:t>
      </w:r>
      <w:r>
        <w:t>laid</w:t>
      </w:r>
      <w:r>
        <w:rPr>
          <w:spacing w:val="-18"/>
        </w:rPr>
        <w:t xml:space="preserve"> </w:t>
      </w:r>
      <w:r>
        <w:t>before</w:t>
      </w:r>
      <w:r>
        <w:rPr>
          <w:spacing w:val="-16"/>
        </w:rPr>
        <w:t xml:space="preserve"> </w:t>
      </w:r>
      <w:r>
        <w:t>and</w:t>
      </w:r>
      <w:r>
        <w:rPr>
          <w:spacing w:val="-16"/>
        </w:rPr>
        <w:t xml:space="preserve"> </w:t>
      </w:r>
      <w:r>
        <w:t>approved</w:t>
      </w:r>
      <w:r>
        <w:rPr>
          <w:spacing w:val="-16"/>
        </w:rPr>
        <w:t xml:space="preserve"> </w:t>
      </w:r>
      <w:r>
        <w:t>by</w:t>
      </w:r>
      <w:r>
        <w:rPr>
          <w:spacing w:val="-16"/>
        </w:rPr>
        <w:t xml:space="preserve"> </w:t>
      </w:r>
      <w:r>
        <w:t>a</w:t>
      </w:r>
      <w:r>
        <w:rPr>
          <w:spacing w:val="-14"/>
        </w:rPr>
        <w:t xml:space="preserve"> </w:t>
      </w:r>
      <w:r>
        <w:t>resolution</w:t>
      </w:r>
      <w:r>
        <w:rPr>
          <w:spacing w:val="-14"/>
        </w:rPr>
        <w:t xml:space="preserve"> </w:t>
      </w:r>
      <w:r>
        <w:t>of</w:t>
      </w:r>
      <w:r>
        <w:rPr>
          <w:spacing w:val="-14"/>
        </w:rPr>
        <w:t xml:space="preserve"> </w:t>
      </w:r>
      <w:r>
        <w:t>Senedd Cymru.</w:t>
      </w:r>
    </w:p>
    <w:p w14:paraId="58BF7067" w14:textId="77777777" w:rsidR="00DB5C0E" w:rsidRDefault="00DB5C0E" w:rsidP="00DB5C0E">
      <w:pPr>
        <w:pStyle w:val="ListParagraph"/>
        <w:numPr>
          <w:ilvl w:val="0"/>
          <w:numId w:val="2"/>
        </w:numPr>
        <w:tabs>
          <w:tab w:val="left" w:pos="2151"/>
        </w:tabs>
        <w:spacing w:before="133"/>
        <w:jc w:val="both"/>
      </w:pPr>
      <w:r>
        <w:t>In this section</w:t>
      </w:r>
      <w:r>
        <w:rPr>
          <w:spacing w:val="2"/>
        </w:rPr>
        <w:t xml:space="preserve"> </w:t>
      </w:r>
      <w:r>
        <w:t>–</w:t>
      </w:r>
    </w:p>
    <w:p w14:paraId="4347F356" w14:textId="77777777" w:rsidR="00DB5C0E" w:rsidRDefault="00DB5C0E" w:rsidP="00DB5C0E">
      <w:pPr>
        <w:pStyle w:val="BodyText"/>
        <w:spacing w:before="150" w:line="211" w:lineRule="auto"/>
        <w:ind w:firstLine="0"/>
        <w:jc w:val="left"/>
      </w:pPr>
      <w:r>
        <w:t>“dwelling” has the meaning given by section 167 of the Commonhold and Leasehold Reform Act 2002.</w:t>
      </w:r>
    </w:p>
    <w:p w14:paraId="3A4F14DE" w14:textId="77777777" w:rsidR="00DB5C0E" w:rsidRDefault="00DB5C0E" w:rsidP="00DB5C0E">
      <w:pPr>
        <w:pStyle w:val="BodyText"/>
        <w:spacing w:before="146"/>
        <w:ind w:right="207" w:firstLine="0"/>
        <w:jc w:val="left"/>
      </w:pPr>
      <w:r>
        <w:t>“long lease” has the meaning given by section 167 of the Commonhold and Leasehold Reform Act 2002.”</w:t>
      </w:r>
    </w:p>
    <w:p w14:paraId="06E04E56" w14:textId="77777777" w:rsidR="00DB5C0E" w:rsidRDefault="00DB5C0E" w:rsidP="00DB5C0E">
      <w:pPr>
        <w:sectPr w:rsidR="00DB5C0E">
          <w:pgSz w:w="11900" w:h="16840"/>
          <w:pgMar w:top="1320" w:right="1320" w:bottom="280" w:left="1320" w:header="718" w:footer="0" w:gutter="0"/>
          <w:cols w:space="720"/>
        </w:sectPr>
      </w:pPr>
    </w:p>
    <w:p w14:paraId="6629E9DE" w14:textId="77777777" w:rsidR="00DB5C0E" w:rsidRDefault="00DB5C0E" w:rsidP="00DB5C0E">
      <w:pPr>
        <w:pStyle w:val="BodyText"/>
        <w:tabs>
          <w:tab w:val="left" w:pos="1567"/>
        </w:tabs>
        <w:spacing w:before="109"/>
        <w:ind w:left="119" w:firstLine="0"/>
        <w:jc w:val="left"/>
      </w:pPr>
      <w:r>
        <w:rPr>
          <w:b/>
        </w:rPr>
        <w:lastRenderedPageBreak/>
        <w:t>E</w:t>
      </w:r>
      <w:r>
        <w:rPr>
          <w:b/>
        </w:rPr>
        <w:tab/>
      </w:r>
      <w:r w:rsidRPr="00525D72">
        <w:rPr>
          <w:b/>
          <w:bCs/>
        </w:rPr>
        <w:t>“Power to alter expiry date</w:t>
      </w:r>
    </w:p>
    <w:p w14:paraId="70FDE56D" w14:textId="77777777" w:rsidR="00DB5C0E" w:rsidRDefault="00DB5C0E" w:rsidP="00DB5C0E">
      <w:pPr>
        <w:pStyle w:val="ListParagraph"/>
        <w:numPr>
          <w:ilvl w:val="0"/>
          <w:numId w:val="1"/>
        </w:numPr>
        <w:tabs>
          <w:tab w:val="left" w:pos="2151"/>
        </w:tabs>
        <w:spacing w:before="156" w:line="211" w:lineRule="auto"/>
        <w:ind w:right="221"/>
        <w:jc w:val="both"/>
      </w:pPr>
      <w:r>
        <w:t>A relevant authority may by regulations provide that section (</w:t>
      </w:r>
      <w:r>
        <w:rPr>
          <w:i/>
        </w:rPr>
        <w:t>Restriction on forfeiture of leases of dwellings for unpaid Fire Safety Order costs</w:t>
      </w:r>
      <w:r>
        <w:t>)—</w:t>
      </w:r>
    </w:p>
    <w:p w14:paraId="5757897F" w14:textId="77777777" w:rsidR="00DB5C0E" w:rsidRDefault="00DB5C0E" w:rsidP="00DB5C0E">
      <w:pPr>
        <w:pStyle w:val="ListParagraph"/>
        <w:numPr>
          <w:ilvl w:val="1"/>
          <w:numId w:val="1"/>
        </w:numPr>
        <w:tabs>
          <w:tab w:val="left" w:pos="2999"/>
        </w:tabs>
        <w:spacing w:before="159" w:line="211" w:lineRule="auto"/>
        <w:ind w:right="218" w:hanging="708"/>
        <w:jc w:val="both"/>
      </w:pPr>
      <w:r>
        <w:t>does not expire at the time when it would otherwise expire (whether by virtue of section (</w:t>
      </w:r>
      <w:r>
        <w:rPr>
          <w:i/>
        </w:rPr>
        <w:t>Expiry</w:t>
      </w:r>
      <w:r>
        <w:t>) or previous regulations under this subsection or subsection (2)),</w:t>
      </w:r>
      <w:r>
        <w:rPr>
          <w:spacing w:val="-8"/>
        </w:rPr>
        <w:t xml:space="preserve"> </w:t>
      </w:r>
      <w:r>
        <w:t>and</w:t>
      </w:r>
    </w:p>
    <w:p w14:paraId="5442B390" w14:textId="77777777" w:rsidR="00DB5C0E" w:rsidRDefault="00DB5C0E" w:rsidP="00DB5C0E">
      <w:pPr>
        <w:pStyle w:val="ListParagraph"/>
        <w:numPr>
          <w:ilvl w:val="1"/>
          <w:numId w:val="1"/>
        </w:numPr>
        <w:tabs>
          <w:tab w:val="left" w:pos="2998"/>
        </w:tabs>
        <w:spacing w:before="156" w:line="211" w:lineRule="auto"/>
        <w:ind w:right="219" w:hanging="708"/>
        <w:jc w:val="both"/>
      </w:pPr>
      <w:r>
        <w:t>expires instead at such earlier time as is specified in the regulations.</w:t>
      </w:r>
    </w:p>
    <w:p w14:paraId="1DEF80C5" w14:textId="77777777" w:rsidR="00DB5C0E" w:rsidRDefault="00DB5C0E" w:rsidP="00DB5C0E">
      <w:pPr>
        <w:pStyle w:val="ListParagraph"/>
        <w:numPr>
          <w:ilvl w:val="0"/>
          <w:numId w:val="1"/>
        </w:numPr>
        <w:tabs>
          <w:tab w:val="left" w:pos="2151"/>
        </w:tabs>
        <w:spacing w:before="157" w:line="211" w:lineRule="auto"/>
        <w:ind w:right="219"/>
        <w:jc w:val="both"/>
      </w:pPr>
      <w:r>
        <w:t>A time specified under subsection (1) in relation to a provision of this Act must not be earlier than the end of the period of 3 years beginning on the date this Act is</w:t>
      </w:r>
      <w:r>
        <w:rPr>
          <w:spacing w:val="-10"/>
        </w:rPr>
        <w:t xml:space="preserve"> </w:t>
      </w:r>
      <w:r>
        <w:t>passed.</w:t>
      </w:r>
    </w:p>
    <w:p w14:paraId="082BB6CC" w14:textId="77777777" w:rsidR="00DB5C0E" w:rsidRDefault="00DB5C0E" w:rsidP="00DB5C0E">
      <w:pPr>
        <w:pStyle w:val="ListParagraph"/>
        <w:numPr>
          <w:ilvl w:val="0"/>
          <w:numId w:val="1"/>
        </w:numPr>
        <w:tabs>
          <w:tab w:val="left" w:pos="2151"/>
        </w:tabs>
        <w:spacing w:before="156" w:line="211" w:lineRule="auto"/>
        <w:ind w:right="221"/>
        <w:jc w:val="both"/>
      </w:pPr>
      <w:r>
        <w:t>A relevant authority may by regulations provide that any provision of this</w:t>
      </w:r>
      <w:r>
        <w:rPr>
          <w:spacing w:val="-3"/>
        </w:rPr>
        <w:t xml:space="preserve"> </w:t>
      </w:r>
      <w:r>
        <w:t>Act—</w:t>
      </w:r>
    </w:p>
    <w:p w14:paraId="1010708D" w14:textId="77777777" w:rsidR="00DB5C0E" w:rsidRDefault="00DB5C0E" w:rsidP="00DB5C0E">
      <w:pPr>
        <w:pStyle w:val="ListParagraph"/>
        <w:numPr>
          <w:ilvl w:val="1"/>
          <w:numId w:val="1"/>
        </w:numPr>
        <w:tabs>
          <w:tab w:val="left" w:pos="2999"/>
        </w:tabs>
        <w:spacing w:before="157" w:line="211" w:lineRule="auto"/>
        <w:ind w:right="218" w:hanging="708"/>
        <w:jc w:val="both"/>
      </w:pPr>
      <w:r>
        <w:t>does not expire at the time when it would otherwise expire (whether by virtue of section (</w:t>
      </w:r>
      <w:r>
        <w:rPr>
          <w:i/>
        </w:rPr>
        <w:t>Expiry</w:t>
      </w:r>
      <w:r>
        <w:t>) or previous regulations under this subsection or subsection (1)),</w:t>
      </w:r>
      <w:r>
        <w:rPr>
          <w:spacing w:val="-8"/>
        </w:rPr>
        <w:t xml:space="preserve"> </w:t>
      </w:r>
      <w:r>
        <w:t>and</w:t>
      </w:r>
    </w:p>
    <w:p w14:paraId="61BA8CCA" w14:textId="77777777" w:rsidR="00DB5C0E" w:rsidRDefault="00DB5C0E" w:rsidP="00DB5C0E">
      <w:pPr>
        <w:pStyle w:val="ListParagraph"/>
        <w:numPr>
          <w:ilvl w:val="1"/>
          <w:numId w:val="1"/>
        </w:numPr>
        <w:tabs>
          <w:tab w:val="left" w:pos="2997"/>
          <w:tab w:val="left" w:pos="2998"/>
        </w:tabs>
        <w:spacing w:before="159" w:line="211" w:lineRule="auto"/>
        <w:ind w:right="220" w:hanging="708"/>
      </w:pPr>
      <w:r>
        <w:t>expires instead at such later time as is specified in the regulations.</w:t>
      </w:r>
    </w:p>
    <w:p w14:paraId="4CB80ABB" w14:textId="77777777" w:rsidR="00DB5C0E" w:rsidRDefault="00DB5C0E" w:rsidP="00DB5C0E">
      <w:pPr>
        <w:pStyle w:val="ListParagraph"/>
        <w:numPr>
          <w:ilvl w:val="0"/>
          <w:numId w:val="1"/>
        </w:numPr>
        <w:tabs>
          <w:tab w:val="left" w:pos="2151"/>
        </w:tabs>
        <w:spacing w:before="131"/>
      </w:pPr>
      <w:r>
        <w:t>Regulations under this</w:t>
      </w:r>
      <w:r>
        <w:rPr>
          <w:spacing w:val="-4"/>
        </w:rPr>
        <w:t xml:space="preserve"> </w:t>
      </w:r>
      <w:r>
        <w:t>section—</w:t>
      </w:r>
    </w:p>
    <w:p w14:paraId="4B80909C" w14:textId="77777777" w:rsidR="00DB5C0E" w:rsidRDefault="00DB5C0E" w:rsidP="00DB5C0E">
      <w:pPr>
        <w:pStyle w:val="ListParagraph"/>
        <w:numPr>
          <w:ilvl w:val="1"/>
          <w:numId w:val="1"/>
        </w:numPr>
        <w:tabs>
          <w:tab w:val="left" w:pos="2998"/>
          <w:tab w:val="left" w:pos="2999"/>
        </w:tabs>
        <w:ind w:left="2998"/>
      </w:pPr>
      <w:r>
        <w:t>may make different provision for different</w:t>
      </w:r>
      <w:r>
        <w:rPr>
          <w:spacing w:val="-8"/>
        </w:rPr>
        <w:t xml:space="preserve"> </w:t>
      </w:r>
      <w:proofErr w:type="gramStart"/>
      <w:r>
        <w:t>purposes;</w:t>
      </w:r>
      <w:proofErr w:type="gramEnd"/>
    </w:p>
    <w:p w14:paraId="1E3880FF" w14:textId="77777777" w:rsidR="00DB5C0E" w:rsidRDefault="00DB5C0E" w:rsidP="00DB5C0E">
      <w:pPr>
        <w:pStyle w:val="ListParagraph"/>
        <w:numPr>
          <w:ilvl w:val="1"/>
          <w:numId w:val="1"/>
        </w:numPr>
        <w:tabs>
          <w:tab w:val="left" w:pos="2996"/>
          <w:tab w:val="left" w:pos="2997"/>
        </w:tabs>
        <w:ind w:left="2996" w:hanging="708"/>
      </w:pPr>
      <w:r>
        <w:t xml:space="preserve">may make transitional, </w:t>
      </w:r>
      <w:proofErr w:type="gramStart"/>
      <w:r>
        <w:t>transitory</w:t>
      </w:r>
      <w:proofErr w:type="gramEnd"/>
      <w:r>
        <w:t xml:space="preserve"> or saving</w:t>
      </w:r>
      <w:r>
        <w:rPr>
          <w:spacing w:val="-9"/>
        </w:rPr>
        <w:t xml:space="preserve"> </w:t>
      </w:r>
      <w:r>
        <w:t>provision.</w:t>
      </w:r>
    </w:p>
    <w:p w14:paraId="78B985AF" w14:textId="77777777" w:rsidR="00DB5C0E" w:rsidRDefault="00DB5C0E" w:rsidP="00DB5C0E">
      <w:pPr>
        <w:pStyle w:val="ListParagraph"/>
        <w:numPr>
          <w:ilvl w:val="0"/>
          <w:numId w:val="1"/>
        </w:numPr>
        <w:tabs>
          <w:tab w:val="left" w:pos="2151"/>
        </w:tabs>
        <w:spacing w:before="150" w:line="211" w:lineRule="auto"/>
        <w:ind w:right="219"/>
        <w:jc w:val="both"/>
      </w:pPr>
      <w:r>
        <w:t>Before making regulations under subsection (1) the relevant authority must consult anyone that appears to the relevant authority to be appropriate.</w:t>
      </w:r>
    </w:p>
    <w:p w14:paraId="004A7C9F" w14:textId="77777777" w:rsidR="00DB5C0E" w:rsidRDefault="00DB5C0E" w:rsidP="00DB5C0E">
      <w:pPr>
        <w:pStyle w:val="ListParagraph"/>
        <w:numPr>
          <w:ilvl w:val="0"/>
          <w:numId w:val="1"/>
        </w:numPr>
        <w:tabs>
          <w:tab w:val="left" w:pos="2151"/>
        </w:tabs>
        <w:spacing w:before="131"/>
        <w:jc w:val="both"/>
      </w:pPr>
      <w:r>
        <w:t>The “relevant</w:t>
      </w:r>
      <w:r>
        <w:rPr>
          <w:spacing w:val="-1"/>
        </w:rPr>
        <w:t xml:space="preserve"> </w:t>
      </w:r>
      <w:r>
        <w:t>authority”—</w:t>
      </w:r>
    </w:p>
    <w:p w14:paraId="449B7E8F" w14:textId="77777777" w:rsidR="00DB5C0E" w:rsidRDefault="00DB5C0E" w:rsidP="00DB5C0E">
      <w:pPr>
        <w:pStyle w:val="ListParagraph"/>
        <w:numPr>
          <w:ilvl w:val="1"/>
          <w:numId w:val="1"/>
        </w:numPr>
        <w:tabs>
          <w:tab w:val="left" w:pos="2463"/>
        </w:tabs>
        <w:ind w:left="2462" w:hanging="313"/>
        <w:jc w:val="both"/>
      </w:pPr>
      <w:r>
        <w:t>in relation to premises in England, means the Secretary of</w:t>
      </w:r>
      <w:r>
        <w:rPr>
          <w:spacing w:val="-12"/>
        </w:rPr>
        <w:t xml:space="preserve"> </w:t>
      </w:r>
      <w:proofErr w:type="gramStart"/>
      <w:r>
        <w:t>State;</w:t>
      </w:r>
      <w:proofErr w:type="gramEnd"/>
    </w:p>
    <w:p w14:paraId="1C530088" w14:textId="77777777" w:rsidR="00DB5C0E" w:rsidRDefault="00DB5C0E" w:rsidP="00DB5C0E">
      <w:pPr>
        <w:pStyle w:val="ListParagraph"/>
        <w:numPr>
          <w:ilvl w:val="1"/>
          <w:numId w:val="1"/>
        </w:numPr>
        <w:tabs>
          <w:tab w:val="left" w:pos="2474"/>
        </w:tabs>
        <w:spacing w:before="124"/>
        <w:ind w:left="2473" w:hanging="324"/>
        <w:jc w:val="both"/>
      </w:pPr>
      <w:r>
        <w:t>in relation to premises in Wales, means the Welsh</w:t>
      </w:r>
      <w:r>
        <w:rPr>
          <w:spacing w:val="-13"/>
        </w:rPr>
        <w:t xml:space="preserve"> </w:t>
      </w:r>
      <w:r>
        <w:t>Ministers.</w:t>
      </w:r>
    </w:p>
    <w:p w14:paraId="37481555" w14:textId="77777777" w:rsidR="00DB5C0E" w:rsidRDefault="00DB5C0E" w:rsidP="00DB5C0E">
      <w:pPr>
        <w:pStyle w:val="ListParagraph"/>
        <w:numPr>
          <w:ilvl w:val="0"/>
          <w:numId w:val="1"/>
        </w:numPr>
        <w:tabs>
          <w:tab w:val="left" w:pos="2151"/>
        </w:tabs>
        <w:spacing w:before="151" w:line="211" w:lineRule="auto"/>
        <w:ind w:right="219"/>
        <w:jc w:val="both"/>
      </w:pPr>
      <w:r>
        <w:t>A</w:t>
      </w:r>
      <w:r>
        <w:rPr>
          <w:spacing w:val="-9"/>
        </w:rPr>
        <w:t xml:space="preserve"> </w:t>
      </w:r>
      <w:r>
        <w:t>statutory</w:t>
      </w:r>
      <w:r>
        <w:rPr>
          <w:spacing w:val="-8"/>
        </w:rPr>
        <w:t xml:space="preserve"> </w:t>
      </w:r>
      <w:r>
        <w:t>instrument</w:t>
      </w:r>
      <w:r>
        <w:rPr>
          <w:spacing w:val="-8"/>
        </w:rPr>
        <w:t xml:space="preserve"> </w:t>
      </w:r>
      <w:r>
        <w:t>containing</w:t>
      </w:r>
      <w:r>
        <w:rPr>
          <w:spacing w:val="-9"/>
        </w:rPr>
        <w:t xml:space="preserve"> </w:t>
      </w:r>
      <w:r>
        <w:t>regulations</w:t>
      </w:r>
      <w:r>
        <w:rPr>
          <w:spacing w:val="-10"/>
        </w:rPr>
        <w:t xml:space="preserve"> </w:t>
      </w:r>
      <w:r>
        <w:t>made</w:t>
      </w:r>
      <w:r>
        <w:rPr>
          <w:spacing w:val="-10"/>
        </w:rPr>
        <w:t xml:space="preserve"> </w:t>
      </w:r>
      <w:r>
        <w:t>by</w:t>
      </w:r>
      <w:r>
        <w:rPr>
          <w:spacing w:val="-9"/>
        </w:rPr>
        <w:t xml:space="preserve"> </w:t>
      </w:r>
      <w:r>
        <w:t>the</w:t>
      </w:r>
      <w:r>
        <w:rPr>
          <w:spacing w:val="-10"/>
        </w:rPr>
        <w:t xml:space="preserve"> </w:t>
      </w:r>
      <w:r>
        <w:t>Secretary</w:t>
      </w:r>
      <w:r>
        <w:rPr>
          <w:spacing w:val="-8"/>
        </w:rPr>
        <w:t xml:space="preserve"> </w:t>
      </w:r>
      <w:r>
        <w:t>of State under subsections (1) or (3) may not be made unless a draft of</w:t>
      </w:r>
      <w:r>
        <w:rPr>
          <w:spacing w:val="-23"/>
        </w:rPr>
        <w:t xml:space="preserve"> </w:t>
      </w:r>
      <w:r>
        <w:t>the instrument has been laid before and approved by a resolution of each House of</w:t>
      </w:r>
      <w:r>
        <w:rPr>
          <w:spacing w:val="-4"/>
        </w:rPr>
        <w:t xml:space="preserve"> </w:t>
      </w:r>
      <w:r>
        <w:t>Parliament.</w:t>
      </w:r>
    </w:p>
    <w:p w14:paraId="636732FF" w14:textId="77777777" w:rsidR="00DB5C0E" w:rsidRDefault="00DB5C0E" w:rsidP="00DB5C0E">
      <w:pPr>
        <w:pStyle w:val="ListParagraph"/>
        <w:numPr>
          <w:ilvl w:val="0"/>
          <w:numId w:val="1"/>
        </w:numPr>
        <w:tabs>
          <w:tab w:val="left" w:pos="2151"/>
        </w:tabs>
        <w:spacing w:before="155" w:line="211" w:lineRule="auto"/>
        <w:ind w:right="223"/>
        <w:jc w:val="both"/>
      </w:pPr>
      <w:r>
        <w:t>A statutory instrument containing regulations made by the Welsh Ministers</w:t>
      </w:r>
      <w:r>
        <w:rPr>
          <w:spacing w:val="-8"/>
        </w:rPr>
        <w:t xml:space="preserve"> </w:t>
      </w:r>
      <w:r>
        <w:t>under</w:t>
      </w:r>
      <w:r>
        <w:rPr>
          <w:spacing w:val="-8"/>
        </w:rPr>
        <w:t xml:space="preserve"> </w:t>
      </w:r>
      <w:r>
        <w:t>subsections</w:t>
      </w:r>
      <w:r>
        <w:rPr>
          <w:spacing w:val="-7"/>
        </w:rPr>
        <w:t xml:space="preserve"> </w:t>
      </w:r>
      <w:r>
        <w:t>(1)</w:t>
      </w:r>
      <w:r>
        <w:rPr>
          <w:spacing w:val="-9"/>
        </w:rPr>
        <w:t xml:space="preserve"> </w:t>
      </w:r>
      <w:r>
        <w:t>or</w:t>
      </w:r>
      <w:r>
        <w:rPr>
          <w:spacing w:val="-8"/>
        </w:rPr>
        <w:t xml:space="preserve"> </w:t>
      </w:r>
      <w:r>
        <w:t>(3)</w:t>
      </w:r>
      <w:r>
        <w:rPr>
          <w:spacing w:val="-8"/>
        </w:rPr>
        <w:t xml:space="preserve"> </w:t>
      </w:r>
      <w:r>
        <w:t>may</w:t>
      </w:r>
      <w:r>
        <w:rPr>
          <w:spacing w:val="-9"/>
        </w:rPr>
        <w:t xml:space="preserve"> </w:t>
      </w:r>
      <w:r>
        <w:t>not</w:t>
      </w:r>
      <w:r>
        <w:rPr>
          <w:spacing w:val="-8"/>
        </w:rPr>
        <w:t xml:space="preserve"> </w:t>
      </w:r>
      <w:r>
        <w:t>be</w:t>
      </w:r>
      <w:r>
        <w:rPr>
          <w:spacing w:val="-11"/>
        </w:rPr>
        <w:t xml:space="preserve"> </w:t>
      </w:r>
      <w:r>
        <w:t>made</w:t>
      </w:r>
      <w:r>
        <w:rPr>
          <w:spacing w:val="-8"/>
        </w:rPr>
        <w:t xml:space="preserve"> </w:t>
      </w:r>
      <w:r>
        <w:t>unless</w:t>
      </w:r>
      <w:r>
        <w:rPr>
          <w:spacing w:val="-7"/>
        </w:rPr>
        <w:t xml:space="preserve"> </w:t>
      </w:r>
      <w:r>
        <w:t>a</w:t>
      </w:r>
      <w:r>
        <w:rPr>
          <w:spacing w:val="-10"/>
        </w:rPr>
        <w:t xml:space="preserve"> </w:t>
      </w:r>
      <w:r>
        <w:t>draft</w:t>
      </w:r>
      <w:r>
        <w:rPr>
          <w:spacing w:val="-9"/>
        </w:rPr>
        <w:t xml:space="preserve"> </w:t>
      </w:r>
      <w:r>
        <w:t>of the instrument has been laid before and approved by a resolution of Senedd</w:t>
      </w:r>
      <w:r>
        <w:rPr>
          <w:spacing w:val="-1"/>
        </w:rPr>
        <w:t xml:space="preserve"> </w:t>
      </w:r>
      <w:r>
        <w:t>Cymru.”</w:t>
      </w:r>
    </w:p>
    <w:p w14:paraId="173C9F6E" w14:textId="77777777" w:rsidR="00DB5C0E" w:rsidRDefault="00DB5C0E"/>
    <w:sectPr w:rsidR="00DB5C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5EC9" w14:textId="77777777" w:rsidR="00FE297A" w:rsidRDefault="00FE297A">
      <w:r>
        <w:separator/>
      </w:r>
    </w:p>
  </w:endnote>
  <w:endnote w:type="continuationSeparator" w:id="0">
    <w:p w14:paraId="3EFB7262" w14:textId="77777777" w:rsidR="00FE297A" w:rsidRDefault="00FE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01B5" w14:textId="77777777" w:rsidR="00FE297A" w:rsidRDefault="00FE297A">
      <w:r>
        <w:separator/>
      </w:r>
    </w:p>
  </w:footnote>
  <w:footnote w:type="continuationSeparator" w:id="0">
    <w:p w14:paraId="02325FB0" w14:textId="77777777" w:rsidR="00FE297A" w:rsidRDefault="00FE2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47AB" w14:textId="77777777" w:rsidR="00953E25" w:rsidRDefault="00FE297A">
    <w:pPr>
      <w:pStyle w:val="BodyText"/>
      <w:spacing w:before="0"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6A1A"/>
    <w:multiLevelType w:val="hybridMultilevel"/>
    <w:tmpl w:val="4D6A48B8"/>
    <w:lvl w:ilvl="0" w:tplc="527CF4DC">
      <w:start w:val="1"/>
      <w:numFmt w:val="decimal"/>
      <w:lvlText w:val="(%1)"/>
      <w:lvlJc w:val="left"/>
      <w:pPr>
        <w:ind w:left="2151" w:hanging="360"/>
        <w:jc w:val="left"/>
      </w:pPr>
      <w:rPr>
        <w:rFonts w:ascii="Book Antiqua" w:eastAsia="Book Antiqua" w:hAnsi="Book Antiqua" w:cs="Book Antiqua" w:hint="default"/>
        <w:spacing w:val="0"/>
        <w:w w:val="100"/>
        <w:sz w:val="22"/>
        <w:szCs w:val="22"/>
      </w:rPr>
    </w:lvl>
    <w:lvl w:ilvl="1" w:tplc="214A6984">
      <w:start w:val="1"/>
      <w:numFmt w:val="lowerRoman"/>
      <w:lvlText w:val="(%2)"/>
      <w:lvlJc w:val="left"/>
      <w:pPr>
        <w:ind w:left="2870" w:hanging="720"/>
        <w:jc w:val="left"/>
      </w:pPr>
      <w:rPr>
        <w:rFonts w:ascii="Book Antiqua" w:eastAsia="Book Antiqua" w:hAnsi="Book Antiqua" w:cs="Book Antiqua" w:hint="default"/>
        <w:spacing w:val="0"/>
        <w:w w:val="100"/>
        <w:sz w:val="22"/>
        <w:szCs w:val="22"/>
      </w:rPr>
    </w:lvl>
    <w:lvl w:ilvl="2" w:tplc="89167CD4">
      <w:numFmt w:val="bullet"/>
      <w:lvlText w:val="•"/>
      <w:lvlJc w:val="left"/>
      <w:pPr>
        <w:ind w:left="3588" w:hanging="720"/>
      </w:pPr>
      <w:rPr>
        <w:rFonts w:hint="default"/>
      </w:rPr>
    </w:lvl>
    <w:lvl w:ilvl="3" w:tplc="56265AC6">
      <w:numFmt w:val="bullet"/>
      <w:lvlText w:val="•"/>
      <w:lvlJc w:val="left"/>
      <w:pPr>
        <w:ind w:left="4297" w:hanging="720"/>
      </w:pPr>
      <w:rPr>
        <w:rFonts w:hint="default"/>
      </w:rPr>
    </w:lvl>
    <w:lvl w:ilvl="4" w:tplc="EAB4BFA0">
      <w:numFmt w:val="bullet"/>
      <w:lvlText w:val="•"/>
      <w:lvlJc w:val="left"/>
      <w:pPr>
        <w:ind w:left="5006" w:hanging="720"/>
      </w:pPr>
      <w:rPr>
        <w:rFonts w:hint="default"/>
      </w:rPr>
    </w:lvl>
    <w:lvl w:ilvl="5" w:tplc="D450799C">
      <w:numFmt w:val="bullet"/>
      <w:lvlText w:val="•"/>
      <w:lvlJc w:val="left"/>
      <w:pPr>
        <w:ind w:left="5715" w:hanging="720"/>
      </w:pPr>
      <w:rPr>
        <w:rFonts w:hint="default"/>
      </w:rPr>
    </w:lvl>
    <w:lvl w:ilvl="6" w:tplc="E03E2D26">
      <w:numFmt w:val="bullet"/>
      <w:lvlText w:val="•"/>
      <w:lvlJc w:val="left"/>
      <w:pPr>
        <w:ind w:left="6424" w:hanging="720"/>
      </w:pPr>
      <w:rPr>
        <w:rFonts w:hint="default"/>
      </w:rPr>
    </w:lvl>
    <w:lvl w:ilvl="7" w:tplc="61E40734">
      <w:numFmt w:val="bullet"/>
      <w:lvlText w:val="•"/>
      <w:lvlJc w:val="left"/>
      <w:pPr>
        <w:ind w:left="7133" w:hanging="720"/>
      </w:pPr>
      <w:rPr>
        <w:rFonts w:hint="default"/>
      </w:rPr>
    </w:lvl>
    <w:lvl w:ilvl="8" w:tplc="B9707B06">
      <w:numFmt w:val="bullet"/>
      <w:lvlText w:val="•"/>
      <w:lvlJc w:val="left"/>
      <w:pPr>
        <w:ind w:left="7842" w:hanging="720"/>
      </w:pPr>
      <w:rPr>
        <w:rFonts w:hint="default"/>
      </w:rPr>
    </w:lvl>
  </w:abstractNum>
  <w:abstractNum w:abstractNumId="1" w15:restartNumberingAfterBreak="0">
    <w:nsid w:val="154F27CB"/>
    <w:multiLevelType w:val="hybridMultilevel"/>
    <w:tmpl w:val="C46E58F4"/>
    <w:lvl w:ilvl="0" w:tplc="06F654BC">
      <w:start w:val="1"/>
      <w:numFmt w:val="decimal"/>
      <w:lvlText w:val="(%1)"/>
      <w:lvlJc w:val="left"/>
      <w:pPr>
        <w:ind w:left="2150" w:hanging="360"/>
        <w:jc w:val="left"/>
      </w:pPr>
      <w:rPr>
        <w:rFonts w:ascii="Book Antiqua" w:eastAsia="Book Antiqua" w:hAnsi="Book Antiqua" w:cs="Book Antiqua" w:hint="default"/>
        <w:spacing w:val="0"/>
        <w:w w:val="100"/>
        <w:sz w:val="22"/>
        <w:szCs w:val="22"/>
      </w:rPr>
    </w:lvl>
    <w:lvl w:ilvl="1" w:tplc="093494A8">
      <w:start w:val="1"/>
      <w:numFmt w:val="lowerLetter"/>
      <w:lvlText w:val="(%2)"/>
      <w:lvlJc w:val="left"/>
      <w:pPr>
        <w:ind w:left="2462" w:hanging="312"/>
        <w:jc w:val="left"/>
      </w:pPr>
      <w:rPr>
        <w:rFonts w:ascii="Book Antiqua" w:eastAsia="Book Antiqua" w:hAnsi="Book Antiqua" w:cs="Book Antiqua" w:hint="default"/>
        <w:spacing w:val="0"/>
        <w:w w:val="100"/>
        <w:sz w:val="22"/>
        <w:szCs w:val="22"/>
      </w:rPr>
    </w:lvl>
    <w:lvl w:ilvl="2" w:tplc="59B26BD2">
      <w:numFmt w:val="bullet"/>
      <w:lvlText w:val="•"/>
      <w:lvlJc w:val="left"/>
      <w:pPr>
        <w:ind w:left="2520" w:hanging="312"/>
      </w:pPr>
      <w:rPr>
        <w:rFonts w:hint="default"/>
      </w:rPr>
    </w:lvl>
    <w:lvl w:ilvl="3" w:tplc="C12E8F58">
      <w:numFmt w:val="bullet"/>
      <w:lvlText w:val="•"/>
      <w:lvlJc w:val="left"/>
      <w:pPr>
        <w:ind w:left="3362" w:hanging="312"/>
      </w:pPr>
      <w:rPr>
        <w:rFonts w:hint="default"/>
      </w:rPr>
    </w:lvl>
    <w:lvl w:ilvl="4" w:tplc="8A9C1498">
      <w:numFmt w:val="bullet"/>
      <w:lvlText w:val="•"/>
      <w:lvlJc w:val="left"/>
      <w:pPr>
        <w:ind w:left="4205" w:hanging="312"/>
      </w:pPr>
      <w:rPr>
        <w:rFonts w:hint="default"/>
      </w:rPr>
    </w:lvl>
    <w:lvl w:ilvl="5" w:tplc="5EEE45C2">
      <w:numFmt w:val="bullet"/>
      <w:lvlText w:val="•"/>
      <w:lvlJc w:val="left"/>
      <w:pPr>
        <w:ind w:left="5047" w:hanging="312"/>
      </w:pPr>
      <w:rPr>
        <w:rFonts w:hint="default"/>
      </w:rPr>
    </w:lvl>
    <w:lvl w:ilvl="6" w:tplc="967C8F76">
      <w:numFmt w:val="bullet"/>
      <w:lvlText w:val="•"/>
      <w:lvlJc w:val="left"/>
      <w:pPr>
        <w:ind w:left="5890" w:hanging="312"/>
      </w:pPr>
      <w:rPr>
        <w:rFonts w:hint="default"/>
      </w:rPr>
    </w:lvl>
    <w:lvl w:ilvl="7" w:tplc="2842E330">
      <w:numFmt w:val="bullet"/>
      <w:lvlText w:val="•"/>
      <w:lvlJc w:val="left"/>
      <w:pPr>
        <w:ind w:left="6732" w:hanging="312"/>
      </w:pPr>
      <w:rPr>
        <w:rFonts w:hint="default"/>
      </w:rPr>
    </w:lvl>
    <w:lvl w:ilvl="8" w:tplc="626E9502">
      <w:numFmt w:val="bullet"/>
      <w:lvlText w:val="•"/>
      <w:lvlJc w:val="left"/>
      <w:pPr>
        <w:ind w:left="7575" w:hanging="312"/>
      </w:pPr>
      <w:rPr>
        <w:rFonts w:hint="default"/>
      </w:rPr>
    </w:lvl>
  </w:abstractNum>
  <w:abstractNum w:abstractNumId="2" w15:restartNumberingAfterBreak="0">
    <w:nsid w:val="37E458BC"/>
    <w:multiLevelType w:val="hybridMultilevel"/>
    <w:tmpl w:val="EB3842BE"/>
    <w:lvl w:ilvl="0" w:tplc="F8C08984">
      <w:start w:val="1"/>
      <w:numFmt w:val="decimal"/>
      <w:lvlText w:val="(%1)"/>
      <w:lvlJc w:val="left"/>
      <w:pPr>
        <w:ind w:left="2150" w:hanging="360"/>
        <w:jc w:val="left"/>
      </w:pPr>
      <w:rPr>
        <w:rFonts w:ascii="Book Antiqua" w:eastAsia="Book Antiqua" w:hAnsi="Book Antiqua" w:cs="Book Antiqua" w:hint="default"/>
        <w:spacing w:val="0"/>
        <w:w w:val="100"/>
        <w:sz w:val="22"/>
        <w:szCs w:val="22"/>
      </w:rPr>
    </w:lvl>
    <w:lvl w:ilvl="1" w:tplc="191A5D9A">
      <w:start w:val="1"/>
      <w:numFmt w:val="lowerLetter"/>
      <w:lvlText w:val="(%2)"/>
      <w:lvlJc w:val="left"/>
      <w:pPr>
        <w:ind w:left="2510" w:hanging="360"/>
        <w:jc w:val="left"/>
      </w:pPr>
      <w:rPr>
        <w:rFonts w:ascii="Book Antiqua" w:eastAsia="Book Antiqua" w:hAnsi="Book Antiqua" w:cs="Book Antiqua" w:hint="default"/>
        <w:spacing w:val="0"/>
        <w:w w:val="100"/>
        <w:sz w:val="22"/>
        <w:szCs w:val="22"/>
      </w:rPr>
    </w:lvl>
    <w:lvl w:ilvl="2" w:tplc="386603DA">
      <w:numFmt w:val="bullet"/>
      <w:lvlText w:val="•"/>
      <w:lvlJc w:val="left"/>
      <w:pPr>
        <w:ind w:left="3268" w:hanging="360"/>
      </w:pPr>
      <w:rPr>
        <w:rFonts w:hint="default"/>
      </w:rPr>
    </w:lvl>
    <w:lvl w:ilvl="3" w:tplc="14F8EB0C">
      <w:numFmt w:val="bullet"/>
      <w:lvlText w:val="•"/>
      <w:lvlJc w:val="left"/>
      <w:pPr>
        <w:ind w:left="4017" w:hanging="360"/>
      </w:pPr>
      <w:rPr>
        <w:rFonts w:hint="default"/>
      </w:rPr>
    </w:lvl>
    <w:lvl w:ilvl="4" w:tplc="B7163E4C">
      <w:numFmt w:val="bullet"/>
      <w:lvlText w:val="•"/>
      <w:lvlJc w:val="left"/>
      <w:pPr>
        <w:ind w:left="4766" w:hanging="360"/>
      </w:pPr>
      <w:rPr>
        <w:rFonts w:hint="default"/>
      </w:rPr>
    </w:lvl>
    <w:lvl w:ilvl="5" w:tplc="5984722A">
      <w:numFmt w:val="bullet"/>
      <w:lvlText w:val="•"/>
      <w:lvlJc w:val="left"/>
      <w:pPr>
        <w:ind w:left="5515" w:hanging="360"/>
      </w:pPr>
      <w:rPr>
        <w:rFonts w:hint="default"/>
      </w:rPr>
    </w:lvl>
    <w:lvl w:ilvl="6" w:tplc="437A0C72">
      <w:numFmt w:val="bullet"/>
      <w:lvlText w:val="•"/>
      <w:lvlJc w:val="left"/>
      <w:pPr>
        <w:ind w:left="6264" w:hanging="360"/>
      </w:pPr>
      <w:rPr>
        <w:rFonts w:hint="default"/>
      </w:rPr>
    </w:lvl>
    <w:lvl w:ilvl="7" w:tplc="CDC80CCA">
      <w:numFmt w:val="bullet"/>
      <w:lvlText w:val="•"/>
      <w:lvlJc w:val="left"/>
      <w:pPr>
        <w:ind w:left="7013" w:hanging="360"/>
      </w:pPr>
      <w:rPr>
        <w:rFonts w:hint="default"/>
      </w:rPr>
    </w:lvl>
    <w:lvl w:ilvl="8" w:tplc="1418207A">
      <w:numFmt w:val="bullet"/>
      <w:lvlText w:val="•"/>
      <w:lvlJc w:val="left"/>
      <w:pPr>
        <w:ind w:left="7762" w:hanging="360"/>
      </w:pPr>
      <w:rPr>
        <w:rFonts w:hint="default"/>
      </w:rPr>
    </w:lvl>
  </w:abstractNum>
  <w:abstractNum w:abstractNumId="3" w15:restartNumberingAfterBreak="0">
    <w:nsid w:val="462C56BE"/>
    <w:multiLevelType w:val="hybridMultilevel"/>
    <w:tmpl w:val="E2C8B1CC"/>
    <w:lvl w:ilvl="0" w:tplc="5DBEA622">
      <w:start w:val="1"/>
      <w:numFmt w:val="decimal"/>
      <w:lvlText w:val="(%1)"/>
      <w:lvlJc w:val="left"/>
      <w:pPr>
        <w:ind w:left="2150" w:hanging="360"/>
        <w:jc w:val="left"/>
      </w:pPr>
      <w:rPr>
        <w:rFonts w:ascii="Book Antiqua" w:eastAsia="Book Antiqua" w:hAnsi="Book Antiqua" w:cs="Book Antiqua" w:hint="default"/>
        <w:spacing w:val="0"/>
        <w:w w:val="100"/>
        <w:sz w:val="22"/>
        <w:szCs w:val="22"/>
      </w:rPr>
    </w:lvl>
    <w:lvl w:ilvl="1" w:tplc="E45A0BD2">
      <w:start w:val="1"/>
      <w:numFmt w:val="lowerLetter"/>
      <w:lvlText w:val="(%2)"/>
      <w:lvlJc w:val="left"/>
      <w:pPr>
        <w:ind w:left="2997" w:hanging="709"/>
        <w:jc w:val="left"/>
      </w:pPr>
      <w:rPr>
        <w:rFonts w:ascii="Book Antiqua" w:eastAsia="Book Antiqua" w:hAnsi="Book Antiqua" w:cs="Book Antiqua" w:hint="default"/>
        <w:spacing w:val="0"/>
        <w:w w:val="100"/>
        <w:sz w:val="22"/>
        <w:szCs w:val="22"/>
      </w:rPr>
    </w:lvl>
    <w:lvl w:ilvl="2" w:tplc="D6783F98">
      <w:numFmt w:val="bullet"/>
      <w:lvlText w:val="•"/>
      <w:lvlJc w:val="left"/>
      <w:pPr>
        <w:ind w:left="3000" w:hanging="709"/>
      </w:pPr>
      <w:rPr>
        <w:rFonts w:hint="default"/>
      </w:rPr>
    </w:lvl>
    <w:lvl w:ilvl="3" w:tplc="09240B9A">
      <w:numFmt w:val="bullet"/>
      <w:lvlText w:val="•"/>
      <w:lvlJc w:val="left"/>
      <w:pPr>
        <w:ind w:left="3782" w:hanging="709"/>
      </w:pPr>
      <w:rPr>
        <w:rFonts w:hint="default"/>
      </w:rPr>
    </w:lvl>
    <w:lvl w:ilvl="4" w:tplc="873805E6">
      <w:numFmt w:val="bullet"/>
      <w:lvlText w:val="•"/>
      <w:lvlJc w:val="left"/>
      <w:pPr>
        <w:ind w:left="4565" w:hanging="709"/>
      </w:pPr>
      <w:rPr>
        <w:rFonts w:hint="default"/>
      </w:rPr>
    </w:lvl>
    <w:lvl w:ilvl="5" w:tplc="8FB6B952">
      <w:numFmt w:val="bullet"/>
      <w:lvlText w:val="•"/>
      <w:lvlJc w:val="left"/>
      <w:pPr>
        <w:ind w:left="5347" w:hanging="709"/>
      </w:pPr>
      <w:rPr>
        <w:rFonts w:hint="default"/>
      </w:rPr>
    </w:lvl>
    <w:lvl w:ilvl="6" w:tplc="0922AF9C">
      <w:numFmt w:val="bullet"/>
      <w:lvlText w:val="•"/>
      <w:lvlJc w:val="left"/>
      <w:pPr>
        <w:ind w:left="6130" w:hanging="709"/>
      </w:pPr>
      <w:rPr>
        <w:rFonts w:hint="default"/>
      </w:rPr>
    </w:lvl>
    <w:lvl w:ilvl="7" w:tplc="726ACEAC">
      <w:numFmt w:val="bullet"/>
      <w:lvlText w:val="•"/>
      <w:lvlJc w:val="left"/>
      <w:pPr>
        <w:ind w:left="6912" w:hanging="709"/>
      </w:pPr>
      <w:rPr>
        <w:rFonts w:hint="default"/>
      </w:rPr>
    </w:lvl>
    <w:lvl w:ilvl="8" w:tplc="56B6E842">
      <w:numFmt w:val="bullet"/>
      <w:lvlText w:val="•"/>
      <w:lvlJc w:val="left"/>
      <w:pPr>
        <w:ind w:left="7695" w:hanging="709"/>
      </w:pPr>
      <w:rPr>
        <w:rFonts w:hint="default"/>
      </w:rPr>
    </w:lvl>
  </w:abstractNum>
  <w:abstractNum w:abstractNumId="4" w15:restartNumberingAfterBreak="0">
    <w:nsid w:val="59654009"/>
    <w:multiLevelType w:val="hybridMultilevel"/>
    <w:tmpl w:val="D870C7E4"/>
    <w:lvl w:ilvl="0" w:tplc="E8F22664">
      <w:start w:val="1"/>
      <w:numFmt w:val="lowerLetter"/>
      <w:lvlText w:val="(%1)"/>
      <w:lvlJc w:val="left"/>
      <w:pPr>
        <w:ind w:left="2510" w:hanging="360"/>
        <w:jc w:val="left"/>
      </w:pPr>
      <w:rPr>
        <w:rFonts w:ascii="Book Antiqua" w:eastAsia="Book Antiqua" w:hAnsi="Book Antiqua" w:cs="Book Antiqua" w:hint="default"/>
        <w:spacing w:val="0"/>
        <w:w w:val="100"/>
        <w:sz w:val="22"/>
        <w:szCs w:val="22"/>
      </w:rPr>
    </w:lvl>
    <w:lvl w:ilvl="1" w:tplc="4036C4A0">
      <w:numFmt w:val="bullet"/>
      <w:lvlText w:val="•"/>
      <w:lvlJc w:val="left"/>
      <w:pPr>
        <w:ind w:left="3194" w:hanging="360"/>
      </w:pPr>
      <w:rPr>
        <w:rFonts w:hint="default"/>
      </w:rPr>
    </w:lvl>
    <w:lvl w:ilvl="2" w:tplc="CBEE1B10">
      <w:numFmt w:val="bullet"/>
      <w:lvlText w:val="•"/>
      <w:lvlJc w:val="left"/>
      <w:pPr>
        <w:ind w:left="3868" w:hanging="360"/>
      </w:pPr>
      <w:rPr>
        <w:rFonts w:hint="default"/>
      </w:rPr>
    </w:lvl>
    <w:lvl w:ilvl="3" w:tplc="A25C3616">
      <w:numFmt w:val="bullet"/>
      <w:lvlText w:val="•"/>
      <w:lvlJc w:val="left"/>
      <w:pPr>
        <w:ind w:left="4542" w:hanging="360"/>
      </w:pPr>
      <w:rPr>
        <w:rFonts w:hint="default"/>
      </w:rPr>
    </w:lvl>
    <w:lvl w:ilvl="4" w:tplc="5154893A">
      <w:numFmt w:val="bullet"/>
      <w:lvlText w:val="•"/>
      <w:lvlJc w:val="left"/>
      <w:pPr>
        <w:ind w:left="5216" w:hanging="360"/>
      </w:pPr>
      <w:rPr>
        <w:rFonts w:hint="default"/>
      </w:rPr>
    </w:lvl>
    <w:lvl w:ilvl="5" w:tplc="ED568900">
      <w:numFmt w:val="bullet"/>
      <w:lvlText w:val="•"/>
      <w:lvlJc w:val="left"/>
      <w:pPr>
        <w:ind w:left="5890" w:hanging="360"/>
      </w:pPr>
      <w:rPr>
        <w:rFonts w:hint="default"/>
      </w:rPr>
    </w:lvl>
    <w:lvl w:ilvl="6" w:tplc="524A402E">
      <w:numFmt w:val="bullet"/>
      <w:lvlText w:val="•"/>
      <w:lvlJc w:val="left"/>
      <w:pPr>
        <w:ind w:left="6564" w:hanging="360"/>
      </w:pPr>
      <w:rPr>
        <w:rFonts w:hint="default"/>
      </w:rPr>
    </w:lvl>
    <w:lvl w:ilvl="7" w:tplc="AD8AF334">
      <w:numFmt w:val="bullet"/>
      <w:lvlText w:val="•"/>
      <w:lvlJc w:val="left"/>
      <w:pPr>
        <w:ind w:left="7238" w:hanging="360"/>
      </w:pPr>
      <w:rPr>
        <w:rFonts w:hint="default"/>
      </w:rPr>
    </w:lvl>
    <w:lvl w:ilvl="8" w:tplc="9B2C8BA0">
      <w:numFmt w:val="bullet"/>
      <w:lvlText w:val="•"/>
      <w:lvlJc w:val="left"/>
      <w:pPr>
        <w:ind w:left="7912" w:hanging="360"/>
      </w:pPr>
      <w:rPr>
        <w:rFonts w:hint="default"/>
      </w:rPr>
    </w:lvl>
  </w:abstractNum>
  <w:abstractNum w:abstractNumId="5" w15:restartNumberingAfterBreak="0">
    <w:nsid w:val="677B1639"/>
    <w:multiLevelType w:val="hybridMultilevel"/>
    <w:tmpl w:val="708E8C2E"/>
    <w:lvl w:ilvl="0" w:tplc="405EA2DE">
      <w:start w:val="1"/>
      <w:numFmt w:val="decimal"/>
      <w:lvlText w:val="(%1)"/>
      <w:lvlJc w:val="left"/>
      <w:pPr>
        <w:ind w:left="2150" w:hanging="360"/>
        <w:jc w:val="left"/>
      </w:pPr>
      <w:rPr>
        <w:rFonts w:ascii="Book Antiqua" w:eastAsia="Book Antiqua" w:hAnsi="Book Antiqua" w:cs="Book Antiqua" w:hint="default"/>
        <w:spacing w:val="0"/>
        <w:w w:val="100"/>
        <w:sz w:val="22"/>
        <w:szCs w:val="22"/>
      </w:rPr>
    </w:lvl>
    <w:lvl w:ilvl="1" w:tplc="8CFE4FBA">
      <w:start w:val="1"/>
      <w:numFmt w:val="lowerLetter"/>
      <w:lvlText w:val="(%2)"/>
      <w:lvlJc w:val="left"/>
      <w:pPr>
        <w:ind w:left="2462" w:hanging="312"/>
        <w:jc w:val="left"/>
      </w:pPr>
      <w:rPr>
        <w:rFonts w:ascii="Book Antiqua" w:eastAsia="Book Antiqua" w:hAnsi="Book Antiqua" w:cs="Book Antiqua" w:hint="default"/>
        <w:spacing w:val="0"/>
        <w:w w:val="100"/>
        <w:sz w:val="22"/>
        <w:szCs w:val="22"/>
      </w:rPr>
    </w:lvl>
    <w:lvl w:ilvl="2" w:tplc="044E89E2">
      <w:numFmt w:val="bullet"/>
      <w:lvlText w:val="•"/>
      <w:lvlJc w:val="left"/>
      <w:pPr>
        <w:ind w:left="3215" w:hanging="312"/>
      </w:pPr>
      <w:rPr>
        <w:rFonts w:hint="default"/>
      </w:rPr>
    </w:lvl>
    <w:lvl w:ilvl="3" w:tplc="44781DB8">
      <w:numFmt w:val="bullet"/>
      <w:lvlText w:val="•"/>
      <w:lvlJc w:val="left"/>
      <w:pPr>
        <w:ind w:left="3971" w:hanging="312"/>
      </w:pPr>
      <w:rPr>
        <w:rFonts w:hint="default"/>
      </w:rPr>
    </w:lvl>
    <w:lvl w:ilvl="4" w:tplc="83F0243E">
      <w:numFmt w:val="bullet"/>
      <w:lvlText w:val="•"/>
      <w:lvlJc w:val="left"/>
      <w:pPr>
        <w:ind w:left="4726" w:hanging="312"/>
      </w:pPr>
      <w:rPr>
        <w:rFonts w:hint="default"/>
      </w:rPr>
    </w:lvl>
    <w:lvl w:ilvl="5" w:tplc="D2C8D222">
      <w:numFmt w:val="bullet"/>
      <w:lvlText w:val="•"/>
      <w:lvlJc w:val="left"/>
      <w:pPr>
        <w:ind w:left="5482" w:hanging="312"/>
      </w:pPr>
      <w:rPr>
        <w:rFonts w:hint="default"/>
      </w:rPr>
    </w:lvl>
    <w:lvl w:ilvl="6" w:tplc="FEC0A598">
      <w:numFmt w:val="bullet"/>
      <w:lvlText w:val="•"/>
      <w:lvlJc w:val="left"/>
      <w:pPr>
        <w:ind w:left="6237" w:hanging="312"/>
      </w:pPr>
      <w:rPr>
        <w:rFonts w:hint="default"/>
      </w:rPr>
    </w:lvl>
    <w:lvl w:ilvl="7" w:tplc="22FA421E">
      <w:numFmt w:val="bullet"/>
      <w:lvlText w:val="•"/>
      <w:lvlJc w:val="left"/>
      <w:pPr>
        <w:ind w:left="6993" w:hanging="312"/>
      </w:pPr>
      <w:rPr>
        <w:rFonts w:hint="default"/>
      </w:rPr>
    </w:lvl>
    <w:lvl w:ilvl="8" w:tplc="014C1E9A">
      <w:numFmt w:val="bullet"/>
      <w:lvlText w:val="•"/>
      <w:lvlJc w:val="left"/>
      <w:pPr>
        <w:ind w:left="7748" w:hanging="312"/>
      </w:pPr>
      <w:rPr>
        <w:rFonts w:hint="default"/>
      </w:rPr>
    </w:lvl>
  </w:abstractNum>
  <w:abstractNum w:abstractNumId="6" w15:restartNumberingAfterBreak="0">
    <w:nsid w:val="7BDF72B2"/>
    <w:multiLevelType w:val="hybridMultilevel"/>
    <w:tmpl w:val="B3EAB1B8"/>
    <w:lvl w:ilvl="0" w:tplc="5C6AC4D6">
      <w:start w:val="1"/>
      <w:numFmt w:val="lowerLetter"/>
      <w:lvlText w:val="(%1)"/>
      <w:lvlJc w:val="left"/>
      <w:pPr>
        <w:ind w:left="2510" w:hanging="360"/>
        <w:jc w:val="left"/>
      </w:pPr>
      <w:rPr>
        <w:rFonts w:ascii="Book Antiqua" w:eastAsia="Book Antiqua" w:hAnsi="Book Antiqua" w:cs="Book Antiqua" w:hint="default"/>
        <w:spacing w:val="0"/>
        <w:w w:val="100"/>
        <w:sz w:val="22"/>
        <w:szCs w:val="22"/>
      </w:rPr>
    </w:lvl>
    <w:lvl w:ilvl="1" w:tplc="F3EA0182">
      <w:numFmt w:val="bullet"/>
      <w:lvlText w:val="•"/>
      <w:lvlJc w:val="left"/>
      <w:pPr>
        <w:ind w:left="3194" w:hanging="360"/>
      </w:pPr>
      <w:rPr>
        <w:rFonts w:hint="default"/>
      </w:rPr>
    </w:lvl>
    <w:lvl w:ilvl="2" w:tplc="4D38F4FC">
      <w:numFmt w:val="bullet"/>
      <w:lvlText w:val="•"/>
      <w:lvlJc w:val="left"/>
      <w:pPr>
        <w:ind w:left="3868" w:hanging="360"/>
      </w:pPr>
      <w:rPr>
        <w:rFonts w:hint="default"/>
      </w:rPr>
    </w:lvl>
    <w:lvl w:ilvl="3" w:tplc="098A2D64">
      <w:numFmt w:val="bullet"/>
      <w:lvlText w:val="•"/>
      <w:lvlJc w:val="left"/>
      <w:pPr>
        <w:ind w:left="4542" w:hanging="360"/>
      </w:pPr>
      <w:rPr>
        <w:rFonts w:hint="default"/>
      </w:rPr>
    </w:lvl>
    <w:lvl w:ilvl="4" w:tplc="CBA283FC">
      <w:numFmt w:val="bullet"/>
      <w:lvlText w:val="•"/>
      <w:lvlJc w:val="left"/>
      <w:pPr>
        <w:ind w:left="5216" w:hanging="360"/>
      </w:pPr>
      <w:rPr>
        <w:rFonts w:hint="default"/>
      </w:rPr>
    </w:lvl>
    <w:lvl w:ilvl="5" w:tplc="FB1E4708">
      <w:numFmt w:val="bullet"/>
      <w:lvlText w:val="•"/>
      <w:lvlJc w:val="left"/>
      <w:pPr>
        <w:ind w:left="5890" w:hanging="360"/>
      </w:pPr>
      <w:rPr>
        <w:rFonts w:hint="default"/>
      </w:rPr>
    </w:lvl>
    <w:lvl w:ilvl="6" w:tplc="78BC3BA4">
      <w:numFmt w:val="bullet"/>
      <w:lvlText w:val="•"/>
      <w:lvlJc w:val="left"/>
      <w:pPr>
        <w:ind w:left="6564" w:hanging="360"/>
      </w:pPr>
      <w:rPr>
        <w:rFonts w:hint="default"/>
      </w:rPr>
    </w:lvl>
    <w:lvl w:ilvl="7" w:tplc="63FAC882">
      <w:numFmt w:val="bullet"/>
      <w:lvlText w:val="•"/>
      <w:lvlJc w:val="left"/>
      <w:pPr>
        <w:ind w:left="7238" w:hanging="360"/>
      </w:pPr>
      <w:rPr>
        <w:rFonts w:hint="default"/>
      </w:rPr>
    </w:lvl>
    <w:lvl w:ilvl="8" w:tplc="ABB26568">
      <w:numFmt w:val="bullet"/>
      <w:lvlText w:val="•"/>
      <w:lvlJc w:val="left"/>
      <w:pPr>
        <w:ind w:left="7912" w:hanging="360"/>
      </w:pPr>
      <w:rPr>
        <w:rFont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3C8345-53EE-4AE3-AD49-7EF91EE64CBD}"/>
    <w:docVar w:name="dgnword-eventsink" w:val="2074755859840"/>
  </w:docVars>
  <w:rsids>
    <w:rsidRoot w:val="00DB5C0E"/>
    <w:rsid w:val="006A4D3F"/>
    <w:rsid w:val="00DB5C0E"/>
    <w:rsid w:val="00FE2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259A"/>
  <w15:chartTrackingRefBased/>
  <w15:docId w15:val="{BBDFC02B-A517-4EB7-8F20-D7381641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C0E"/>
    <w:pPr>
      <w:widowControl w:val="0"/>
      <w:autoSpaceDE w:val="0"/>
      <w:autoSpaceDN w:val="0"/>
      <w:spacing w:after="0" w:line="240" w:lineRule="auto"/>
    </w:pPr>
    <w:rPr>
      <w:rFonts w:ascii="Book Antiqua" w:eastAsia="Book Antiqua" w:hAnsi="Book Antiqua" w:cs="Book Antiqu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5C0E"/>
    <w:pPr>
      <w:spacing w:before="125"/>
      <w:ind w:left="2150" w:hanging="360"/>
      <w:jc w:val="both"/>
    </w:pPr>
  </w:style>
  <w:style w:type="character" w:customStyle="1" w:styleId="BodyTextChar">
    <w:name w:val="Body Text Char"/>
    <w:basedOn w:val="DefaultParagraphFont"/>
    <w:link w:val="BodyText"/>
    <w:uiPriority w:val="1"/>
    <w:rsid w:val="00DB5C0E"/>
    <w:rPr>
      <w:rFonts w:ascii="Book Antiqua" w:eastAsia="Book Antiqua" w:hAnsi="Book Antiqua" w:cs="Book Antiqua"/>
      <w:lang w:val="en-US"/>
    </w:rPr>
  </w:style>
  <w:style w:type="paragraph" w:styleId="ListParagraph">
    <w:name w:val="List Paragraph"/>
    <w:basedOn w:val="Normal"/>
    <w:uiPriority w:val="1"/>
    <w:qFormat/>
    <w:rsid w:val="00DB5C0E"/>
    <w:pPr>
      <w:spacing w:before="125"/>
      <w:ind w:left="215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FOX</dc:creator>
  <cp:keywords/>
  <dc:description/>
  <cp:lastModifiedBy>RUSSELL, Freddie</cp:lastModifiedBy>
  <cp:revision>2</cp:revision>
  <dcterms:created xsi:type="dcterms:W3CDTF">2021-04-23T10:21:00Z</dcterms:created>
  <dcterms:modified xsi:type="dcterms:W3CDTF">2021-04-23T10:21:00Z</dcterms:modified>
</cp:coreProperties>
</file>